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387" w:type="dxa"/>
        <w:jc w:val="center"/>
        <w:tblBorders>
          <w:top w:val="none" w:sz="0" w:space="0" w:color="auto"/>
          <w:left w:val="none" w:sz="0" w:space="0" w:color="auto"/>
          <w:bottom w:val="none" w:sz="0" w:space="0" w:color="auto"/>
          <w:right w:val="none" w:sz="0" w:space="0" w:color="auto"/>
          <w:insideH w:val="none" w:sz="0" w:space="0" w:color="auto"/>
          <w:insideV w:val="single" w:sz="4" w:space="0" w:color="auto"/>
        </w:tblBorders>
        <w:shd w:val="clear" w:color="auto" w:fill="DBE5F1" w:themeFill="accent1" w:themeFillTint="33"/>
        <w:tblLook w:val="04A0" w:firstRow="1" w:lastRow="0" w:firstColumn="1" w:lastColumn="0" w:noHBand="0" w:noVBand="1"/>
      </w:tblPr>
      <w:tblGrid>
        <w:gridCol w:w="4886"/>
        <w:gridCol w:w="5501"/>
      </w:tblGrid>
      <w:tr w:rsidR="00002C95" w:rsidRPr="00344358" w:rsidTr="00FA3A24">
        <w:trPr>
          <w:jc w:val="center"/>
        </w:trPr>
        <w:tc>
          <w:tcPr>
            <w:tcW w:w="10387" w:type="dxa"/>
            <w:gridSpan w:val="2"/>
            <w:shd w:val="clear" w:color="auto" w:fill="auto"/>
            <w:tcMar>
              <w:top w:w="57" w:type="dxa"/>
              <w:bottom w:w="57" w:type="dxa"/>
            </w:tcMar>
            <w:vAlign w:val="center"/>
          </w:tcPr>
          <w:p w:rsidR="00002C95" w:rsidRPr="00344358" w:rsidRDefault="00002C95" w:rsidP="00002C95">
            <w:pPr>
              <w:autoSpaceDE w:val="0"/>
              <w:autoSpaceDN w:val="0"/>
              <w:adjustRightInd w:val="0"/>
              <w:jc w:val="center"/>
              <w:rPr>
                <w:rFonts w:ascii="Helvetica" w:hAnsi="Helvetica" w:cs="Helvetica"/>
                <w:sz w:val="32"/>
                <w:szCs w:val="18"/>
              </w:rPr>
            </w:pPr>
            <w:r>
              <w:rPr>
                <w:rFonts w:ascii="Helvetica" w:hAnsi="Helvetica"/>
                <w:b/>
                <w:sz w:val="32"/>
              </w:rPr>
              <w:t>MEGFELELŐSÉGI NYILATKOZAT</w:t>
            </w:r>
          </w:p>
        </w:tc>
      </w:tr>
      <w:tr w:rsidR="00002C95" w:rsidRPr="00344358" w:rsidTr="00FA3A24">
        <w:trPr>
          <w:jc w:val="center"/>
        </w:trPr>
        <w:tc>
          <w:tcPr>
            <w:tcW w:w="10387" w:type="dxa"/>
            <w:gridSpan w:val="2"/>
            <w:shd w:val="clear" w:color="auto" w:fill="auto"/>
            <w:tcMar>
              <w:top w:w="57" w:type="dxa"/>
              <w:bottom w:w="57" w:type="dxa"/>
            </w:tcMar>
            <w:vAlign w:val="center"/>
          </w:tcPr>
          <w:p w:rsidR="00002C95" w:rsidRPr="00344358" w:rsidRDefault="00002C95" w:rsidP="00002C95">
            <w:pPr>
              <w:autoSpaceDE w:val="0"/>
              <w:autoSpaceDN w:val="0"/>
              <w:adjustRightInd w:val="0"/>
              <w:jc w:val="center"/>
              <w:rPr>
                <w:rFonts w:ascii="Helvetica" w:hAnsi="Helvetica" w:cs="Helvetica"/>
                <w:sz w:val="18"/>
                <w:szCs w:val="18"/>
              </w:rPr>
            </w:pPr>
            <w:r>
              <w:rPr>
                <w:rFonts w:ascii="Helvetica" w:hAnsi="Helvetica"/>
                <w:noProof/>
                <w:lang w:val="it-IT" w:eastAsia="it-IT"/>
              </w:rPr>
              <w:drawing>
                <wp:inline distT="0" distB="0" distL="0" distR="0">
                  <wp:extent cx="571500" cy="507253"/>
                  <wp:effectExtent l="0" t="0" r="0" b="762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74" cy="511224"/>
                          </a:xfrm>
                          <a:prstGeom prst="rect">
                            <a:avLst/>
                          </a:prstGeom>
                        </pic:spPr>
                      </pic:pic>
                    </a:graphicData>
                  </a:graphic>
                </wp:inline>
              </w:drawing>
            </w:r>
          </w:p>
        </w:tc>
      </w:tr>
      <w:tr w:rsidR="00CA51FE" w:rsidRPr="00344358" w:rsidTr="00FA3A24">
        <w:trPr>
          <w:jc w:val="center"/>
        </w:trPr>
        <w:tc>
          <w:tcPr>
            <w:tcW w:w="4886" w:type="dxa"/>
            <w:shd w:val="clear" w:color="auto" w:fill="auto"/>
            <w:tcMar>
              <w:top w:w="57" w:type="dxa"/>
              <w:bottom w:w="57" w:type="dxa"/>
            </w:tcMar>
            <w:vAlign w:val="center"/>
          </w:tcPr>
          <w:p w:rsidR="00CA51FE" w:rsidRPr="00344358" w:rsidRDefault="00B95A20" w:rsidP="00EC652A">
            <w:pPr>
              <w:autoSpaceDE w:val="0"/>
              <w:autoSpaceDN w:val="0"/>
              <w:adjustRightInd w:val="0"/>
              <w:rPr>
                <w:rFonts w:ascii="Helvetica" w:hAnsi="Helvetica" w:cs="Helvetica"/>
                <w:bCs/>
                <w:iCs/>
                <w:sz w:val="18"/>
                <w:szCs w:val="18"/>
              </w:rPr>
            </w:pPr>
            <w:r>
              <w:rPr>
                <w:rFonts w:ascii="Helvetica" w:hAnsi="Helvetica"/>
                <w:sz w:val="20"/>
                <w:szCs w:val="20"/>
              </w:rPr>
              <w:t xml:space="preserve">GYÁRTÓ </w:t>
            </w:r>
          </w:p>
        </w:tc>
        <w:tc>
          <w:tcPr>
            <w:tcW w:w="5501" w:type="dxa"/>
            <w:shd w:val="clear" w:color="auto" w:fill="auto"/>
            <w:tcMar>
              <w:top w:w="57" w:type="dxa"/>
              <w:bottom w:w="57" w:type="dxa"/>
            </w:tcMar>
            <w:vAlign w:val="center"/>
          </w:tcPr>
          <w:p w:rsidR="00CA51FE" w:rsidRPr="00344358" w:rsidRDefault="00760DE4" w:rsidP="00E8726C">
            <w:pPr>
              <w:autoSpaceDE w:val="0"/>
              <w:autoSpaceDN w:val="0"/>
              <w:adjustRightInd w:val="0"/>
              <w:rPr>
                <w:rFonts w:ascii="Helvetica" w:hAnsi="Helvetica" w:cs="Helvetica"/>
                <w:sz w:val="18"/>
                <w:szCs w:val="18"/>
              </w:rPr>
            </w:pPr>
            <w:r>
              <w:rPr>
                <w:rFonts w:ascii="Helvetica" w:hAnsi="Helvetica"/>
                <w:sz w:val="18"/>
                <w:szCs w:val="18"/>
              </w:rPr>
              <w:t>BICARjet S.r.l.</w:t>
            </w:r>
          </w:p>
        </w:tc>
      </w:tr>
      <w:tr w:rsidR="00CA51FE" w:rsidRPr="00344358" w:rsidTr="00FA3A24">
        <w:trPr>
          <w:jc w:val="center"/>
        </w:trPr>
        <w:tc>
          <w:tcPr>
            <w:tcW w:w="4886" w:type="dxa"/>
            <w:shd w:val="clear" w:color="auto" w:fill="auto"/>
            <w:tcMar>
              <w:top w:w="57" w:type="dxa"/>
              <w:bottom w:w="57" w:type="dxa"/>
            </w:tcMar>
            <w:vAlign w:val="center"/>
          </w:tcPr>
          <w:p w:rsidR="00CA51FE" w:rsidRPr="00344358" w:rsidRDefault="00CA51FE" w:rsidP="00D22DCF">
            <w:pPr>
              <w:autoSpaceDE w:val="0"/>
              <w:autoSpaceDN w:val="0"/>
              <w:adjustRightInd w:val="0"/>
              <w:rPr>
                <w:rFonts w:ascii="Helvetica" w:hAnsi="Helvetica" w:cs="Helvetica"/>
                <w:bCs/>
                <w:iCs/>
                <w:sz w:val="18"/>
                <w:szCs w:val="18"/>
              </w:rPr>
            </w:pPr>
            <w:r>
              <w:rPr>
                <w:rFonts w:ascii="Helvetica" w:hAnsi="Helvetica"/>
                <w:sz w:val="20"/>
                <w:szCs w:val="20"/>
              </w:rPr>
              <w:t>SZÉKHELY CÍME</w:t>
            </w:r>
          </w:p>
        </w:tc>
        <w:tc>
          <w:tcPr>
            <w:tcW w:w="5501" w:type="dxa"/>
            <w:shd w:val="clear" w:color="auto" w:fill="auto"/>
            <w:tcMar>
              <w:top w:w="57" w:type="dxa"/>
              <w:bottom w:w="57" w:type="dxa"/>
            </w:tcMar>
            <w:vAlign w:val="center"/>
          </w:tcPr>
          <w:p w:rsidR="00CA51FE" w:rsidRPr="00344358" w:rsidRDefault="00760DE4" w:rsidP="00BF359E">
            <w:pPr>
              <w:autoSpaceDE w:val="0"/>
              <w:autoSpaceDN w:val="0"/>
              <w:adjustRightInd w:val="0"/>
              <w:rPr>
                <w:rFonts w:ascii="Helvetica" w:hAnsi="Helvetica" w:cs="Helvetica"/>
                <w:bCs/>
                <w:sz w:val="18"/>
                <w:szCs w:val="18"/>
              </w:rPr>
            </w:pPr>
            <w:r>
              <w:rPr>
                <w:rFonts w:ascii="Helvetica" w:hAnsi="Helvetica"/>
                <w:bCs/>
                <w:sz w:val="18"/>
                <w:szCs w:val="18"/>
              </w:rPr>
              <w:t xml:space="preserve">Via Nona Strada, 4 - 35129 Padova, Olaszország </w:t>
            </w:r>
          </w:p>
        </w:tc>
      </w:tr>
      <w:tr w:rsidR="00FA3A24" w:rsidRPr="00344358" w:rsidTr="00FA3A24">
        <w:trPr>
          <w:jc w:val="center"/>
        </w:trPr>
        <w:tc>
          <w:tcPr>
            <w:tcW w:w="4886" w:type="dxa"/>
            <w:shd w:val="clear" w:color="auto" w:fill="auto"/>
            <w:tcMar>
              <w:top w:w="57" w:type="dxa"/>
              <w:bottom w:w="57" w:type="dxa"/>
            </w:tcMar>
            <w:vAlign w:val="center"/>
          </w:tcPr>
          <w:p w:rsidR="00FA3A24" w:rsidRDefault="00FA3A24" w:rsidP="00D22DCF">
            <w:pPr>
              <w:autoSpaceDE w:val="0"/>
              <w:autoSpaceDN w:val="0"/>
              <w:adjustRightInd w:val="0"/>
              <w:rPr>
                <w:rFonts w:ascii="Helvetica" w:hAnsi="Helvetica"/>
                <w:sz w:val="20"/>
                <w:szCs w:val="20"/>
              </w:rPr>
            </w:pPr>
            <w:r w:rsidRPr="00FA3A24">
              <w:rPr>
                <w:rFonts w:ascii="Helvetica" w:hAnsi="Helvetica"/>
                <w:sz w:val="20"/>
                <w:szCs w:val="20"/>
              </w:rPr>
              <w:t>REGISZTRÁCIÓS SZÁM (SRN)</w:t>
            </w:r>
          </w:p>
        </w:tc>
        <w:tc>
          <w:tcPr>
            <w:tcW w:w="5501" w:type="dxa"/>
            <w:shd w:val="clear" w:color="auto" w:fill="auto"/>
            <w:tcMar>
              <w:top w:w="57" w:type="dxa"/>
              <w:bottom w:w="57" w:type="dxa"/>
            </w:tcMar>
            <w:vAlign w:val="center"/>
          </w:tcPr>
          <w:p w:rsidR="00FA3A24" w:rsidRDefault="00BE71A0" w:rsidP="00BF359E">
            <w:pPr>
              <w:autoSpaceDE w:val="0"/>
              <w:autoSpaceDN w:val="0"/>
              <w:adjustRightInd w:val="0"/>
              <w:rPr>
                <w:rFonts w:ascii="Helvetica" w:hAnsi="Helvetica"/>
                <w:bCs/>
                <w:sz w:val="18"/>
                <w:szCs w:val="18"/>
              </w:rPr>
            </w:pPr>
            <w:r w:rsidRPr="00BE71A0">
              <w:rPr>
                <w:rFonts w:ascii="Helvetica" w:hAnsi="Helvetica"/>
                <w:bCs/>
                <w:sz w:val="18"/>
                <w:szCs w:val="18"/>
              </w:rPr>
              <w:t>IT-MF-000027202</w:t>
            </w:r>
            <w:bookmarkStart w:id="0" w:name="_GoBack"/>
            <w:bookmarkEnd w:id="0"/>
          </w:p>
        </w:tc>
      </w:tr>
      <w:tr w:rsidR="00CE250E" w:rsidRPr="00344358" w:rsidTr="00FA3A24">
        <w:trPr>
          <w:jc w:val="center"/>
        </w:trPr>
        <w:tc>
          <w:tcPr>
            <w:tcW w:w="10387" w:type="dxa"/>
            <w:gridSpan w:val="2"/>
            <w:shd w:val="clear" w:color="auto" w:fill="auto"/>
            <w:tcMar>
              <w:top w:w="57" w:type="dxa"/>
              <w:bottom w:w="57" w:type="dxa"/>
            </w:tcMar>
            <w:vAlign w:val="center"/>
          </w:tcPr>
          <w:p w:rsidR="00CA51FE" w:rsidRPr="00344358" w:rsidRDefault="00CA51FE" w:rsidP="00CA51FE">
            <w:pPr>
              <w:autoSpaceDE w:val="0"/>
              <w:autoSpaceDN w:val="0"/>
              <w:adjustRightInd w:val="0"/>
              <w:jc w:val="center"/>
              <w:rPr>
                <w:rFonts w:ascii="Helvetica" w:hAnsi="Helvetica" w:cs="Helvetica"/>
                <w:b/>
                <w:sz w:val="16"/>
                <w:szCs w:val="16"/>
              </w:rPr>
            </w:pPr>
          </w:p>
          <w:p w:rsidR="00793A62" w:rsidRPr="00344358" w:rsidRDefault="00793A62" w:rsidP="00793A62">
            <w:pPr>
              <w:autoSpaceDE w:val="0"/>
              <w:autoSpaceDN w:val="0"/>
              <w:adjustRightInd w:val="0"/>
              <w:jc w:val="center"/>
              <w:rPr>
                <w:rFonts w:ascii="Helvetica" w:hAnsi="Helvetica" w:cs="Helvetica"/>
                <w:b/>
                <w:sz w:val="20"/>
                <w:szCs w:val="20"/>
              </w:rPr>
            </w:pPr>
            <w:r>
              <w:rPr>
                <w:rFonts w:ascii="Helvetica" w:hAnsi="Helvetica"/>
                <w:b/>
                <w:sz w:val="20"/>
                <w:szCs w:val="20"/>
              </w:rPr>
              <w:t>SAJÁT ÉS EGYEDÜLI FELELŐSSÉGÉRE KIJELENTI, HOGY AZ ALÁBBI ESZKÖZ</w:t>
            </w:r>
          </w:p>
          <w:p w:rsidR="00002C95" w:rsidRPr="00344358" w:rsidRDefault="00002C95" w:rsidP="00002C95">
            <w:pPr>
              <w:autoSpaceDE w:val="0"/>
              <w:autoSpaceDN w:val="0"/>
              <w:adjustRightInd w:val="0"/>
              <w:jc w:val="center"/>
              <w:rPr>
                <w:rFonts w:ascii="Helvetica" w:hAnsi="Helvetica" w:cs="Helvetica"/>
                <w:sz w:val="18"/>
                <w:szCs w:val="18"/>
              </w:rPr>
            </w:pPr>
          </w:p>
        </w:tc>
      </w:tr>
      <w:tr w:rsidR="00CA51FE" w:rsidRPr="00344358" w:rsidTr="00FA3A24">
        <w:trPr>
          <w:jc w:val="center"/>
        </w:trPr>
        <w:tc>
          <w:tcPr>
            <w:tcW w:w="4886" w:type="dxa"/>
            <w:shd w:val="clear" w:color="auto" w:fill="auto"/>
            <w:tcMar>
              <w:top w:w="57" w:type="dxa"/>
              <w:bottom w:w="57" w:type="dxa"/>
            </w:tcMar>
            <w:vAlign w:val="center"/>
          </w:tcPr>
          <w:p w:rsidR="00CA51FE" w:rsidRPr="00344358" w:rsidRDefault="008010E1" w:rsidP="00AC3380">
            <w:pPr>
              <w:tabs>
                <w:tab w:val="left" w:pos="3333"/>
              </w:tabs>
              <w:rPr>
                <w:rFonts w:ascii="Helvetica" w:hAnsi="Helvetica" w:cs="Helvetica"/>
                <w:sz w:val="20"/>
                <w:szCs w:val="20"/>
              </w:rPr>
            </w:pPr>
            <w:r>
              <w:rPr>
                <w:rFonts w:ascii="Helvetica" w:hAnsi="Helvetica"/>
                <w:sz w:val="20"/>
                <w:szCs w:val="20"/>
              </w:rPr>
              <w:t>KERESKEDELMI NÉV</w:t>
            </w:r>
          </w:p>
        </w:tc>
        <w:tc>
          <w:tcPr>
            <w:tcW w:w="5501" w:type="dxa"/>
            <w:shd w:val="clear" w:color="auto" w:fill="auto"/>
            <w:tcMar>
              <w:top w:w="57" w:type="dxa"/>
              <w:bottom w:w="57" w:type="dxa"/>
            </w:tcMar>
            <w:vAlign w:val="center"/>
          </w:tcPr>
          <w:p w:rsidR="00CA51FE" w:rsidRPr="00F50087" w:rsidRDefault="00876E6A" w:rsidP="00A83B1C">
            <w:pPr>
              <w:tabs>
                <w:tab w:val="left" w:pos="3333"/>
              </w:tabs>
              <w:rPr>
                <w:rFonts w:ascii="Helvetica" w:hAnsi="Helvetica" w:cs="Helvetica"/>
                <w:b/>
                <w:sz w:val="18"/>
                <w:szCs w:val="18"/>
              </w:rPr>
            </w:pPr>
            <w:r w:rsidRPr="00F50087">
              <w:rPr>
                <w:rFonts w:ascii="Helvetica" w:hAnsi="Helvetica"/>
                <w:b/>
                <w:sz w:val="18"/>
                <w:szCs w:val="18"/>
              </w:rPr>
              <w:t>SAFE CleanBox</w:t>
            </w:r>
          </w:p>
        </w:tc>
      </w:tr>
      <w:tr w:rsidR="00EE293C" w:rsidRPr="00344358" w:rsidTr="00FA3A24">
        <w:trPr>
          <w:jc w:val="center"/>
        </w:trPr>
        <w:tc>
          <w:tcPr>
            <w:tcW w:w="4886" w:type="dxa"/>
            <w:shd w:val="clear" w:color="auto" w:fill="auto"/>
            <w:tcMar>
              <w:top w:w="57" w:type="dxa"/>
              <w:bottom w:w="57" w:type="dxa"/>
            </w:tcMar>
            <w:vAlign w:val="center"/>
          </w:tcPr>
          <w:p w:rsidR="00EE293C" w:rsidRDefault="00EE293C" w:rsidP="00AC3380">
            <w:pPr>
              <w:tabs>
                <w:tab w:val="left" w:pos="3333"/>
              </w:tabs>
              <w:rPr>
                <w:rFonts w:ascii="Helvetica" w:hAnsi="Helvetica" w:cs="Helvetica"/>
                <w:sz w:val="20"/>
                <w:szCs w:val="20"/>
              </w:rPr>
            </w:pPr>
            <w:r>
              <w:rPr>
                <w:rFonts w:ascii="Helvetica" w:hAnsi="Helvetica"/>
                <w:sz w:val="20"/>
                <w:szCs w:val="20"/>
              </w:rPr>
              <w:t>MODELL</w:t>
            </w:r>
          </w:p>
          <w:p w:rsidR="005F59DF" w:rsidRDefault="005F59DF" w:rsidP="00AC3380">
            <w:pPr>
              <w:tabs>
                <w:tab w:val="left" w:pos="3333"/>
              </w:tabs>
              <w:rPr>
                <w:rFonts w:ascii="Helvetica" w:hAnsi="Helvetica"/>
                <w:sz w:val="20"/>
                <w:szCs w:val="20"/>
              </w:rPr>
            </w:pPr>
          </w:p>
          <w:p w:rsidR="0085631F" w:rsidRPr="00344358" w:rsidRDefault="0085631F" w:rsidP="00AC3380">
            <w:pPr>
              <w:tabs>
                <w:tab w:val="left" w:pos="3333"/>
              </w:tabs>
              <w:rPr>
                <w:rFonts w:ascii="Helvetica" w:hAnsi="Helvetica" w:cs="Helvetica"/>
                <w:sz w:val="20"/>
                <w:szCs w:val="20"/>
              </w:rPr>
            </w:pPr>
            <w:r>
              <w:rPr>
                <w:rFonts w:ascii="Helvetica" w:hAnsi="Helvetica"/>
                <w:sz w:val="20"/>
                <w:szCs w:val="20"/>
              </w:rPr>
              <w:t>SOROZATSZÁM</w:t>
            </w:r>
          </w:p>
        </w:tc>
        <w:tc>
          <w:tcPr>
            <w:tcW w:w="5501" w:type="dxa"/>
            <w:shd w:val="clear" w:color="auto" w:fill="auto"/>
            <w:tcMar>
              <w:top w:w="57" w:type="dxa"/>
              <w:bottom w:w="57" w:type="dxa"/>
            </w:tcMar>
            <w:vAlign w:val="center"/>
          </w:tcPr>
          <w:p w:rsidR="00EE293C" w:rsidRPr="008B3026" w:rsidRDefault="008F10DE" w:rsidP="00134472">
            <w:pPr>
              <w:pStyle w:val="Paragrafoelenco"/>
              <w:numPr>
                <w:ilvl w:val="0"/>
                <w:numId w:val="23"/>
              </w:numPr>
              <w:tabs>
                <w:tab w:val="left" w:pos="3333"/>
              </w:tabs>
              <w:rPr>
                <w:rFonts w:ascii="Helvetica" w:hAnsi="Helvetica" w:cs="Helvetica"/>
                <w:b/>
                <w:sz w:val="20"/>
                <w:szCs w:val="20"/>
              </w:rPr>
            </w:pPr>
            <w:r w:rsidRPr="00F50087">
              <w:rPr>
                <w:rFonts w:ascii="Helvetica" w:hAnsi="Helvetica"/>
                <w:b/>
                <w:sz w:val="20"/>
                <w:szCs w:val="20"/>
              </w:rPr>
              <w:t xml:space="preserve">STK </w:t>
            </w:r>
            <w:r w:rsidR="003D06D0" w:rsidRPr="00F50087">
              <w:rPr>
                <w:rFonts w:ascii="Helvetica" w:hAnsi="Helvetica"/>
                <w:b/>
                <w:sz w:val="20"/>
                <w:szCs w:val="20"/>
              </w:rPr>
              <w:t>1</w:t>
            </w:r>
            <w:r w:rsidR="00134472" w:rsidRPr="00F50087">
              <w:rPr>
                <w:rFonts w:ascii="Helvetica" w:hAnsi="Helvetica"/>
                <w:b/>
                <w:sz w:val="20"/>
                <w:szCs w:val="20"/>
              </w:rPr>
              <w:t>0</w:t>
            </w:r>
            <w:r w:rsidR="008B3026">
              <w:rPr>
                <w:rFonts w:ascii="Helvetica" w:hAnsi="Helvetica"/>
                <w:b/>
                <w:sz w:val="20"/>
                <w:szCs w:val="20"/>
              </w:rPr>
              <w:t>3</w:t>
            </w:r>
          </w:p>
          <w:p w:rsidR="008B3026" w:rsidRPr="00F50087" w:rsidRDefault="008B3026" w:rsidP="00134472">
            <w:pPr>
              <w:pStyle w:val="Paragrafoelenco"/>
              <w:numPr>
                <w:ilvl w:val="0"/>
                <w:numId w:val="23"/>
              </w:numPr>
              <w:tabs>
                <w:tab w:val="left" w:pos="3333"/>
              </w:tabs>
              <w:rPr>
                <w:rFonts w:ascii="Helvetica" w:hAnsi="Helvetica" w:cs="Helvetica"/>
                <w:b/>
                <w:sz w:val="20"/>
                <w:szCs w:val="20"/>
              </w:rPr>
            </w:pPr>
            <w:r>
              <w:rPr>
                <w:rFonts w:ascii="Helvetica" w:hAnsi="Helvetica" w:cs="Helvetica"/>
                <w:b/>
                <w:sz w:val="20"/>
                <w:szCs w:val="20"/>
              </w:rPr>
              <w:t>STK 113</w:t>
            </w:r>
          </w:p>
          <w:p w:rsidR="005F59DF" w:rsidRPr="00F50087" w:rsidRDefault="005F59DF" w:rsidP="00134472">
            <w:pPr>
              <w:pStyle w:val="Paragrafoelenco"/>
              <w:numPr>
                <w:ilvl w:val="0"/>
                <w:numId w:val="23"/>
              </w:numPr>
              <w:tabs>
                <w:tab w:val="left" w:pos="3333"/>
              </w:tabs>
              <w:rPr>
                <w:rFonts w:ascii="Helvetica" w:hAnsi="Helvetica" w:cs="Helvetica"/>
                <w:b/>
                <w:sz w:val="20"/>
                <w:szCs w:val="20"/>
              </w:rPr>
            </w:pPr>
            <w:r w:rsidRPr="00F50087">
              <w:rPr>
                <w:rFonts w:ascii="Helvetica" w:hAnsi="Helvetica"/>
                <w:b/>
                <w:sz w:val="20"/>
                <w:szCs w:val="20"/>
              </w:rPr>
              <w:t>_______</w:t>
            </w:r>
          </w:p>
        </w:tc>
      </w:tr>
      <w:tr w:rsidR="003E6297" w:rsidRPr="00344358" w:rsidTr="00FA3A24">
        <w:trPr>
          <w:jc w:val="center"/>
        </w:trPr>
        <w:tc>
          <w:tcPr>
            <w:tcW w:w="4886" w:type="dxa"/>
            <w:shd w:val="clear" w:color="auto" w:fill="auto"/>
            <w:tcMar>
              <w:top w:w="57" w:type="dxa"/>
              <w:bottom w:w="57" w:type="dxa"/>
            </w:tcMar>
            <w:vAlign w:val="center"/>
          </w:tcPr>
          <w:p w:rsidR="003E6297" w:rsidRPr="00344358" w:rsidRDefault="003E6297" w:rsidP="00AC3380">
            <w:pPr>
              <w:tabs>
                <w:tab w:val="left" w:pos="3333"/>
              </w:tabs>
              <w:rPr>
                <w:rFonts w:ascii="Helvetica" w:hAnsi="Helvetica" w:cs="Helvetica"/>
                <w:sz w:val="20"/>
                <w:szCs w:val="20"/>
              </w:rPr>
            </w:pPr>
            <w:r>
              <w:rPr>
                <w:rFonts w:ascii="Helvetica" w:hAnsi="Helvetica"/>
                <w:bCs/>
                <w:sz w:val="20"/>
                <w:szCs w:val="20"/>
              </w:rPr>
              <w:t>CND KÓD</w:t>
            </w:r>
          </w:p>
        </w:tc>
        <w:tc>
          <w:tcPr>
            <w:tcW w:w="5501" w:type="dxa"/>
            <w:shd w:val="clear" w:color="auto" w:fill="auto"/>
            <w:tcMar>
              <w:top w:w="57" w:type="dxa"/>
              <w:bottom w:w="57" w:type="dxa"/>
            </w:tcMar>
            <w:vAlign w:val="center"/>
          </w:tcPr>
          <w:p w:rsidR="003E6297" w:rsidRPr="00344358" w:rsidRDefault="00760DE4" w:rsidP="00002C95">
            <w:pPr>
              <w:tabs>
                <w:tab w:val="left" w:pos="3333"/>
              </w:tabs>
              <w:rPr>
                <w:rFonts w:ascii="Helvetica" w:hAnsi="Helvetica" w:cs="Helvetica"/>
                <w:sz w:val="18"/>
                <w:szCs w:val="18"/>
              </w:rPr>
            </w:pPr>
            <w:r>
              <w:rPr>
                <w:rFonts w:ascii="Helvetica" w:hAnsi="Helvetica"/>
                <w:sz w:val="18"/>
                <w:szCs w:val="18"/>
              </w:rPr>
              <w:t>V07</w:t>
            </w:r>
            <w:r w:rsidR="00E807EF">
              <w:rPr>
                <w:rFonts w:ascii="Helvetica" w:hAnsi="Helvetica"/>
                <w:sz w:val="18"/>
                <w:szCs w:val="18"/>
              </w:rPr>
              <w:t>99</w:t>
            </w:r>
            <w:r>
              <w:rPr>
                <w:rFonts w:ascii="Helvetica" w:hAnsi="Helvetica"/>
                <w:sz w:val="18"/>
                <w:szCs w:val="18"/>
              </w:rPr>
              <w:t xml:space="preserve"> - ORVOSTECHNIKAI ESZKÖZÖK TISZTÍTÁSÁRA SZOLGÁLÓ, MÁS KATEGÓRIÁKBA NEM SOROLT TERMÉKEK</w:t>
            </w:r>
          </w:p>
        </w:tc>
      </w:tr>
      <w:tr w:rsidR="00CA51FE" w:rsidRPr="00344358" w:rsidTr="00FA3A24">
        <w:trPr>
          <w:jc w:val="center"/>
        </w:trPr>
        <w:tc>
          <w:tcPr>
            <w:tcW w:w="4886" w:type="dxa"/>
            <w:shd w:val="clear" w:color="auto" w:fill="auto"/>
            <w:tcMar>
              <w:top w:w="57" w:type="dxa"/>
              <w:bottom w:w="57" w:type="dxa"/>
            </w:tcMar>
            <w:vAlign w:val="center"/>
          </w:tcPr>
          <w:p w:rsidR="00CA51FE" w:rsidRPr="00344358" w:rsidRDefault="00AC3380" w:rsidP="00AC3380">
            <w:pPr>
              <w:tabs>
                <w:tab w:val="left" w:pos="3333"/>
              </w:tabs>
              <w:rPr>
                <w:rFonts w:ascii="Helvetica" w:hAnsi="Helvetica" w:cs="Helvetica"/>
                <w:sz w:val="20"/>
                <w:szCs w:val="20"/>
              </w:rPr>
            </w:pPr>
            <w:r>
              <w:rPr>
                <w:rFonts w:ascii="Helvetica" w:hAnsi="Helvetica"/>
                <w:sz w:val="20"/>
                <w:szCs w:val="20"/>
              </w:rPr>
              <w:t>FELHASZNÁLÁS CÉLJA</w:t>
            </w:r>
          </w:p>
        </w:tc>
        <w:tc>
          <w:tcPr>
            <w:tcW w:w="5501" w:type="dxa"/>
            <w:shd w:val="clear" w:color="auto" w:fill="auto"/>
            <w:tcMar>
              <w:top w:w="57" w:type="dxa"/>
              <w:bottom w:w="57" w:type="dxa"/>
            </w:tcMar>
            <w:vAlign w:val="center"/>
          </w:tcPr>
          <w:p w:rsidR="00CA51FE" w:rsidRPr="00344358" w:rsidRDefault="00760DE4" w:rsidP="00AC3380">
            <w:pPr>
              <w:tabs>
                <w:tab w:val="left" w:pos="3333"/>
              </w:tabs>
              <w:rPr>
                <w:rFonts w:ascii="Helvetica" w:hAnsi="Helvetica" w:cs="Helvetica"/>
                <w:sz w:val="16"/>
                <w:szCs w:val="16"/>
              </w:rPr>
            </w:pPr>
            <w:r>
              <w:rPr>
                <w:rFonts w:ascii="Helvetica" w:hAnsi="Helvetica"/>
                <w:sz w:val="16"/>
                <w:szCs w:val="16"/>
              </w:rPr>
              <w:t>ÚOE újrakondícionálását szolgáló, megelőző és előkészítő felületi előkészítés. Az eljárást sűrített levegő és szódabikarbóna sugár használatával végzik víz felhasználásával vagy anélkül, hogy eltávolítsák a felszíni szennyeződéseket és ezzel kihangsúlyozzák a további szakaszok eredményességét. Ez a művelet elméletileg hasonlít az ÚOE-k kézi keféléséhez, melynek általában a további fertőtlenítési és/vagy sterilizálási mosási eljárások előtt vetik alá a műszereket.</w:t>
            </w:r>
          </w:p>
        </w:tc>
      </w:tr>
      <w:tr w:rsidR="00AC3380" w:rsidRPr="00344358" w:rsidTr="00FA3A24">
        <w:trPr>
          <w:jc w:val="center"/>
        </w:trPr>
        <w:tc>
          <w:tcPr>
            <w:tcW w:w="4886" w:type="dxa"/>
            <w:shd w:val="clear" w:color="auto" w:fill="auto"/>
            <w:tcMar>
              <w:top w:w="57" w:type="dxa"/>
              <w:bottom w:w="57" w:type="dxa"/>
            </w:tcMar>
            <w:vAlign w:val="center"/>
          </w:tcPr>
          <w:p w:rsidR="00AC3380" w:rsidRPr="00344358" w:rsidRDefault="00AC3380" w:rsidP="00AC3380">
            <w:pPr>
              <w:tabs>
                <w:tab w:val="left" w:pos="3333"/>
              </w:tabs>
              <w:rPr>
                <w:rFonts w:ascii="Helvetica" w:hAnsi="Helvetica" w:cs="Helvetica"/>
                <w:sz w:val="20"/>
                <w:szCs w:val="20"/>
              </w:rPr>
            </w:pPr>
            <w:r>
              <w:rPr>
                <w:rFonts w:ascii="Helvetica" w:hAnsi="Helvetica"/>
                <w:sz w:val="20"/>
                <w:szCs w:val="20"/>
              </w:rPr>
              <w:t>LEÍRÁS</w:t>
            </w:r>
          </w:p>
        </w:tc>
        <w:tc>
          <w:tcPr>
            <w:tcW w:w="5501" w:type="dxa"/>
            <w:shd w:val="clear" w:color="auto" w:fill="auto"/>
            <w:tcMar>
              <w:top w:w="57" w:type="dxa"/>
              <w:bottom w:w="57" w:type="dxa"/>
            </w:tcMar>
            <w:vAlign w:val="center"/>
          </w:tcPr>
          <w:p w:rsidR="00AC3380" w:rsidRPr="00344358" w:rsidRDefault="00760DE4" w:rsidP="00AC3380">
            <w:pPr>
              <w:tabs>
                <w:tab w:val="left" w:pos="3333"/>
              </w:tabs>
              <w:rPr>
                <w:rFonts w:ascii="Helvetica" w:hAnsi="Helvetica" w:cs="Helvetica"/>
                <w:sz w:val="16"/>
                <w:szCs w:val="16"/>
              </w:rPr>
            </w:pPr>
            <w:r>
              <w:rPr>
                <w:rFonts w:ascii="Helvetica" w:hAnsi="Helvetica"/>
                <w:sz w:val="16"/>
                <w:szCs w:val="16"/>
              </w:rPr>
              <w:t>„Glove box” típusú fülkéből álló berendezés, melyben az újrahasználható orvostechnikai eszközöket (ÚOE) lehet megtisztítani, mielőtt alávetik őket a további mosási- és sterilizálási eljárásoknak. A tisztítás szódabikarbóna, víz és sűrített levegő sugár adagolásával történik: ez az eljárás a nagy hatékonyságú és hatású mechanikai keféléshez hasonlítható.</w:t>
            </w:r>
          </w:p>
        </w:tc>
      </w:tr>
      <w:tr w:rsidR="0083447E" w:rsidRPr="00344358" w:rsidTr="00FA3A24">
        <w:trPr>
          <w:jc w:val="center"/>
        </w:trPr>
        <w:tc>
          <w:tcPr>
            <w:tcW w:w="10387" w:type="dxa"/>
            <w:gridSpan w:val="2"/>
            <w:shd w:val="clear" w:color="auto" w:fill="auto"/>
            <w:tcMar>
              <w:top w:w="57" w:type="dxa"/>
              <w:bottom w:w="57" w:type="dxa"/>
            </w:tcMar>
            <w:vAlign w:val="center"/>
          </w:tcPr>
          <w:p w:rsidR="00002C95" w:rsidRPr="00344358" w:rsidRDefault="00FA3A24" w:rsidP="00FA3A24">
            <w:pPr>
              <w:autoSpaceDE w:val="0"/>
              <w:autoSpaceDN w:val="0"/>
              <w:adjustRightInd w:val="0"/>
              <w:jc w:val="center"/>
              <w:rPr>
                <w:rFonts w:ascii="Helvetica" w:hAnsi="Helvetica" w:cs="Helvetica"/>
                <w:b/>
                <w:sz w:val="20"/>
                <w:szCs w:val="20"/>
              </w:rPr>
            </w:pPr>
            <w:r w:rsidRPr="00FA3A24">
              <w:rPr>
                <w:rFonts w:ascii="Helvetica" w:hAnsi="Helvetica"/>
                <w:b/>
                <w:sz w:val="20"/>
                <w:szCs w:val="20"/>
              </w:rPr>
              <w:t>MEGFELEL AZ (UE) 2017/745 RENDELETNEK</w:t>
            </w:r>
          </w:p>
        </w:tc>
      </w:tr>
      <w:tr w:rsidR="00646362" w:rsidRPr="00344358" w:rsidTr="00FA3A24">
        <w:trPr>
          <w:jc w:val="center"/>
        </w:trPr>
        <w:tc>
          <w:tcPr>
            <w:tcW w:w="4886" w:type="dxa"/>
            <w:shd w:val="clear" w:color="auto" w:fill="auto"/>
            <w:tcMar>
              <w:top w:w="57" w:type="dxa"/>
              <w:bottom w:w="57" w:type="dxa"/>
            </w:tcMar>
            <w:vAlign w:val="center"/>
          </w:tcPr>
          <w:p w:rsidR="00646362" w:rsidRPr="00344358" w:rsidRDefault="00646362" w:rsidP="004B4C8F">
            <w:pPr>
              <w:autoSpaceDE w:val="0"/>
              <w:autoSpaceDN w:val="0"/>
              <w:adjustRightInd w:val="0"/>
              <w:rPr>
                <w:rFonts w:ascii="Helvetica" w:hAnsi="Helvetica" w:cs="Helvetica"/>
                <w:b/>
                <w:sz w:val="16"/>
                <w:szCs w:val="16"/>
              </w:rPr>
            </w:pPr>
            <w:r>
              <w:rPr>
                <w:rFonts w:ascii="Helvetica" w:hAnsi="Helvetica"/>
                <w:b/>
                <w:sz w:val="20"/>
                <w:szCs w:val="20"/>
              </w:rPr>
              <w:t>BESOROLÁS</w:t>
            </w:r>
          </w:p>
        </w:tc>
        <w:tc>
          <w:tcPr>
            <w:tcW w:w="5501" w:type="dxa"/>
            <w:shd w:val="clear" w:color="auto" w:fill="auto"/>
            <w:tcMar>
              <w:top w:w="57" w:type="dxa"/>
              <w:bottom w:w="57" w:type="dxa"/>
            </w:tcMar>
            <w:vAlign w:val="center"/>
          </w:tcPr>
          <w:p w:rsidR="00646362" w:rsidRPr="00344358" w:rsidRDefault="00002C95" w:rsidP="000546D4">
            <w:pPr>
              <w:autoSpaceDE w:val="0"/>
              <w:autoSpaceDN w:val="0"/>
              <w:adjustRightInd w:val="0"/>
              <w:rPr>
                <w:rFonts w:ascii="Helvetica" w:hAnsi="Helvetica" w:cs="Helvetica"/>
                <w:bCs/>
                <w:sz w:val="16"/>
                <w:szCs w:val="16"/>
              </w:rPr>
            </w:pPr>
            <w:r>
              <w:rPr>
                <w:rFonts w:ascii="Helvetica" w:hAnsi="Helvetica"/>
                <w:bCs/>
                <w:sz w:val="18"/>
                <w:szCs w:val="18"/>
              </w:rPr>
              <w:t xml:space="preserve">I. osztály </w:t>
            </w:r>
            <w:r>
              <w:rPr>
                <w:rFonts w:ascii="Helvetica" w:hAnsi="Helvetica"/>
                <w:bCs/>
                <w:sz w:val="16"/>
                <w:szCs w:val="16"/>
              </w:rPr>
              <w:t>(</w:t>
            </w:r>
            <w:r w:rsidR="00FA3A24">
              <w:rPr>
                <w:rFonts w:ascii="Helvetica" w:hAnsi="Helvetica"/>
                <w:bCs/>
                <w:sz w:val="16"/>
                <w:szCs w:val="16"/>
              </w:rPr>
              <w:t>VIII</w:t>
            </w:r>
            <w:r>
              <w:rPr>
                <w:rFonts w:ascii="Helvetica" w:hAnsi="Helvetica"/>
                <w:bCs/>
                <w:sz w:val="16"/>
                <w:szCs w:val="16"/>
              </w:rPr>
              <w:t>. mell. 1</w:t>
            </w:r>
            <w:r w:rsidR="00FA3A24">
              <w:rPr>
                <w:rFonts w:ascii="Helvetica" w:hAnsi="Helvetica"/>
                <w:bCs/>
                <w:sz w:val="16"/>
                <w:szCs w:val="16"/>
              </w:rPr>
              <w:t>3</w:t>
            </w:r>
            <w:r>
              <w:rPr>
                <w:rFonts w:ascii="Helvetica" w:hAnsi="Helvetica"/>
                <w:bCs/>
                <w:sz w:val="16"/>
                <w:szCs w:val="16"/>
              </w:rPr>
              <w:t>. szabály)</w:t>
            </w:r>
          </w:p>
        </w:tc>
      </w:tr>
      <w:tr w:rsidR="00646362" w:rsidRPr="00344358" w:rsidTr="00FA3A24">
        <w:trPr>
          <w:jc w:val="center"/>
        </w:trPr>
        <w:tc>
          <w:tcPr>
            <w:tcW w:w="4886" w:type="dxa"/>
            <w:shd w:val="clear" w:color="auto" w:fill="auto"/>
            <w:tcMar>
              <w:top w:w="57" w:type="dxa"/>
              <w:bottom w:w="57" w:type="dxa"/>
            </w:tcMar>
            <w:vAlign w:val="center"/>
          </w:tcPr>
          <w:p w:rsidR="00646362" w:rsidRPr="00344358" w:rsidRDefault="00646362" w:rsidP="00297C83">
            <w:pPr>
              <w:tabs>
                <w:tab w:val="left" w:pos="3333"/>
              </w:tabs>
              <w:rPr>
                <w:rFonts w:ascii="Helvetica" w:hAnsi="Helvetica" w:cs="Helvetica"/>
                <w:i/>
                <w:sz w:val="16"/>
                <w:szCs w:val="16"/>
              </w:rPr>
            </w:pPr>
            <w:r>
              <w:rPr>
                <w:rFonts w:ascii="Helvetica" w:hAnsi="Helvetica"/>
                <w:b/>
                <w:sz w:val="20"/>
                <w:szCs w:val="20"/>
              </w:rPr>
              <w:t>MEGFELELŐSÉG ÉRTÉKELÉSI ELJÁRÁSA</w:t>
            </w:r>
          </w:p>
        </w:tc>
        <w:tc>
          <w:tcPr>
            <w:tcW w:w="5501" w:type="dxa"/>
            <w:shd w:val="clear" w:color="auto" w:fill="auto"/>
            <w:tcMar>
              <w:top w:w="57" w:type="dxa"/>
              <w:bottom w:w="57" w:type="dxa"/>
            </w:tcMar>
            <w:vAlign w:val="center"/>
          </w:tcPr>
          <w:p w:rsidR="00783D80" w:rsidRPr="00344358" w:rsidRDefault="00FA3A24" w:rsidP="00297C83">
            <w:pPr>
              <w:tabs>
                <w:tab w:val="left" w:pos="3333"/>
              </w:tabs>
              <w:rPr>
                <w:rFonts w:ascii="Helvetica" w:hAnsi="Helvetica" w:cs="Helvetica"/>
                <w:sz w:val="16"/>
                <w:szCs w:val="16"/>
              </w:rPr>
            </w:pPr>
            <w:r>
              <w:rPr>
                <w:rFonts w:ascii="Helvetica" w:hAnsi="Helvetica"/>
                <w:sz w:val="18"/>
                <w:szCs w:val="18"/>
              </w:rPr>
              <w:t>II, III</w:t>
            </w:r>
            <w:r w:rsidR="00002C95">
              <w:rPr>
                <w:rFonts w:ascii="Helvetica" w:hAnsi="Helvetica"/>
                <w:sz w:val="18"/>
                <w:szCs w:val="18"/>
              </w:rPr>
              <w:t>. Mell.</w:t>
            </w:r>
          </w:p>
        </w:tc>
      </w:tr>
      <w:tr w:rsidR="00FA3A24" w:rsidRPr="00344358" w:rsidTr="00FA3A24">
        <w:trPr>
          <w:jc w:val="center"/>
        </w:trPr>
        <w:tc>
          <w:tcPr>
            <w:tcW w:w="10387" w:type="dxa"/>
            <w:gridSpan w:val="2"/>
            <w:shd w:val="clear" w:color="auto" w:fill="auto"/>
            <w:tcMar>
              <w:top w:w="57" w:type="dxa"/>
              <w:bottom w:w="57" w:type="dxa"/>
            </w:tcMar>
            <w:vAlign w:val="center"/>
          </w:tcPr>
          <w:p w:rsidR="00FA3A24" w:rsidRPr="00FA3A24" w:rsidRDefault="00FA3A24" w:rsidP="00FA3A24">
            <w:pPr>
              <w:tabs>
                <w:tab w:val="left" w:pos="3333"/>
              </w:tabs>
              <w:jc w:val="center"/>
              <w:rPr>
                <w:rFonts w:ascii="Helvetica" w:hAnsi="Helvetica"/>
                <w:b/>
                <w:sz w:val="18"/>
                <w:szCs w:val="18"/>
              </w:rPr>
            </w:pPr>
            <w:r w:rsidRPr="00FA3A24">
              <w:rPr>
                <w:rFonts w:ascii="Helvetica" w:hAnsi="Helvetica"/>
                <w:b/>
                <w:sz w:val="18"/>
                <w:szCs w:val="18"/>
              </w:rPr>
              <w:t>ÉS A KÖVETKEZ</w:t>
            </w:r>
            <w:r w:rsidRPr="00FA3A24">
              <w:rPr>
                <w:rFonts w:ascii="Calibri" w:hAnsi="Calibri" w:cs="Calibri"/>
                <w:b/>
                <w:sz w:val="18"/>
                <w:szCs w:val="18"/>
              </w:rPr>
              <w:t>Ő</w:t>
            </w:r>
            <w:r w:rsidRPr="00FA3A24">
              <w:rPr>
                <w:rFonts w:ascii="Helvetica" w:hAnsi="Helvetica"/>
                <w:b/>
                <w:sz w:val="18"/>
                <w:szCs w:val="18"/>
              </w:rPr>
              <w:t xml:space="preserve"> JOGI AKTUSOKHOZ, AMELYEK A KIAD</w:t>
            </w:r>
            <w:r w:rsidRPr="00FA3A24">
              <w:rPr>
                <w:rFonts w:ascii="Helvetica" w:hAnsi="Helvetica" w:cs="Helvetica"/>
                <w:b/>
                <w:sz w:val="18"/>
                <w:szCs w:val="18"/>
              </w:rPr>
              <w:t>Á</w:t>
            </w:r>
            <w:r w:rsidRPr="00FA3A24">
              <w:rPr>
                <w:rFonts w:ascii="Helvetica" w:hAnsi="Helvetica"/>
                <w:b/>
                <w:sz w:val="18"/>
                <w:szCs w:val="18"/>
              </w:rPr>
              <w:t>ST RENDELKEZIK</w:t>
            </w:r>
          </w:p>
          <w:p w:rsidR="00FA3A24" w:rsidRDefault="00FA3A24" w:rsidP="00FA3A24">
            <w:pPr>
              <w:tabs>
                <w:tab w:val="left" w:pos="3333"/>
              </w:tabs>
              <w:jc w:val="center"/>
              <w:rPr>
                <w:rFonts w:ascii="Helvetica" w:hAnsi="Helvetica"/>
                <w:sz w:val="18"/>
                <w:szCs w:val="18"/>
              </w:rPr>
            </w:pPr>
            <w:r w:rsidRPr="00FA3A24">
              <w:rPr>
                <w:rFonts w:ascii="Helvetica" w:hAnsi="Helvetica"/>
                <w:b/>
                <w:sz w:val="18"/>
                <w:szCs w:val="18"/>
              </w:rPr>
              <w:t>AZ EU-MEGFELEL</w:t>
            </w:r>
            <w:r w:rsidRPr="00FA3A24">
              <w:rPr>
                <w:rFonts w:ascii="Calibri" w:hAnsi="Calibri" w:cs="Calibri"/>
                <w:b/>
                <w:sz w:val="18"/>
                <w:szCs w:val="18"/>
              </w:rPr>
              <w:t>Ő</w:t>
            </w:r>
            <w:r w:rsidRPr="00FA3A24">
              <w:rPr>
                <w:rFonts w:ascii="Helvetica" w:hAnsi="Helvetica"/>
                <w:b/>
                <w:sz w:val="18"/>
                <w:szCs w:val="18"/>
              </w:rPr>
              <w:t>S</w:t>
            </w:r>
            <w:r w:rsidRPr="00FA3A24">
              <w:rPr>
                <w:rFonts w:ascii="Helvetica" w:hAnsi="Helvetica" w:cs="Helvetica"/>
                <w:b/>
                <w:sz w:val="18"/>
                <w:szCs w:val="18"/>
              </w:rPr>
              <w:t>É</w:t>
            </w:r>
            <w:r w:rsidRPr="00FA3A24">
              <w:rPr>
                <w:rFonts w:ascii="Helvetica" w:hAnsi="Helvetica"/>
                <w:b/>
                <w:sz w:val="18"/>
                <w:szCs w:val="18"/>
              </w:rPr>
              <w:t>GI NYILATKOZAT:</w:t>
            </w:r>
          </w:p>
        </w:tc>
      </w:tr>
      <w:tr w:rsidR="00FA3A24" w:rsidRPr="00344358" w:rsidTr="00FA3A24">
        <w:trPr>
          <w:jc w:val="center"/>
        </w:trPr>
        <w:tc>
          <w:tcPr>
            <w:tcW w:w="10387" w:type="dxa"/>
            <w:gridSpan w:val="2"/>
            <w:shd w:val="clear" w:color="auto" w:fill="auto"/>
            <w:tcMar>
              <w:top w:w="57" w:type="dxa"/>
              <w:bottom w:w="57" w:type="dxa"/>
            </w:tcMar>
            <w:vAlign w:val="center"/>
          </w:tcPr>
          <w:p w:rsidR="00FA3A24" w:rsidRDefault="00FA3A24" w:rsidP="00297C83">
            <w:pPr>
              <w:tabs>
                <w:tab w:val="left" w:pos="3333"/>
              </w:tabs>
              <w:rPr>
                <w:rFonts w:ascii="Helvetica" w:hAnsi="Helvetica"/>
                <w:sz w:val="18"/>
                <w:szCs w:val="18"/>
              </w:rPr>
            </w:pPr>
            <w:proofErr w:type="spellStart"/>
            <w:r w:rsidRPr="00267F47">
              <w:rPr>
                <w:rFonts w:asciiTheme="majorHAnsi" w:hAnsiTheme="majorHAnsi" w:cstheme="majorHAnsi"/>
                <w:b/>
                <w:szCs w:val="20"/>
                <w:lang w:val="en-GB"/>
              </w:rPr>
              <w:t>Dire</w:t>
            </w:r>
            <w:r>
              <w:rPr>
                <w:rFonts w:asciiTheme="majorHAnsi" w:hAnsiTheme="majorHAnsi" w:cstheme="majorHAnsi"/>
                <w:b/>
                <w:szCs w:val="20"/>
                <w:lang w:val="en-GB"/>
              </w:rPr>
              <w:t>ttiva</w:t>
            </w:r>
            <w:proofErr w:type="spellEnd"/>
            <w:r w:rsidRPr="00267F47">
              <w:rPr>
                <w:rFonts w:asciiTheme="majorHAnsi" w:hAnsiTheme="majorHAnsi" w:cstheme="majorHAnsi"/>
                <w:b/>
                <w:szCs w:val="20"/>
                <w:lang w:val="en-GB"/>
              </w:rPr>
              <w:t xml:space="preserve"> 2012/19/EU on waste electrical and electronic equipment (WEEE</w:t>
            </w:r>
            <w:r>
              <w:rPr>
                <w:rFonts w:asciiTheme="majorHAnsi" w:hAnsiTheme="majorHAnsi" w:cstheme="majorHAnsi"/>
                <w:b/>
                <w:szCs w:val="20"/>
                <w:lang w:val="en-GB"/>
              </w:rPr>
              <w:t>/RAEE</w:t>
            </w:r>
            <w:r w:rsidRPr="00267F47">
              <w:rPr>
                <w:rFonts w:asciiTheme="majorHAnsi" w:hAnsiTheme="majorHAnsi" w:cstheme="majorHAnsi"/>
                <w:b/>
                <w:szCs w:val="20"/>
                <w:lang w:val="en-GB"/>
              </w:rPr>
              <w:t>)</w:t>
            </w:r>
          </w:p>
        </w:tc>
      </w:tr>
      <w:tr w:rsidR="00FA3A24" w:rsidRPr="00344358" w:rsidTr="00FA3A24">
        <w:trPr>
          <w:jc w:val="center"/>
        </w:trPr>
        <w:tc>
          <w:tcPr>
            <w:tcW w:w="10387" w:type="dxa"/>
            <w:gridSpan w:val="2"/>
            <w:shd w:val="clear" w:color="auto" w:fill="auto"/>
            <w:tcMar>
              <w:top w:w="57" w:type="dxa"/>
              <w:bottom w:w="57" w:type="dxa"/>
            </w:tcMar>
            <w:vAlign w:val="center"/>
          </w:tcPr>
          <w:p w:rsidR="00FA3A24" w:rsidRDefault="00FA3A24" w:rsidP="00297C83">
            <w:pPr>
              <w:tabs>
                <w:tab w:val="left" w:pos="3333"/>
              </w:tabs>
              <w:rPr>
                <w:rFonts w:ascii="Helvetica" w:hAnsi="Helvetica"/>
                <w:sz w:val="18"/>
                <w:szCs w:val="18"/>
              </w:rPr>
            </w:pPr>
            <w:r>
              <w:rPr>
                <w:rFonts w:asciiTheme="majorHAnsi" w:hAnsiTheme="majorHAnsi" w:cstheme="majorHAnsi"/>
                <w:b/>
                <w:szCs w:val="20"/>
              </w:rPr>
              <w:t xml:space="preserve">Direttiva RoHS </w:t>
            </w:r>
            <w:r w:rsidRPr="00267F47">
              <w:rPr>
                <w:rFonts w:asciiTheme="majorHAnsi" w:hAnsiTheme="majorHAnsi" w:cstheme="majorHAnsi"/>
                <w:b/>
                <w:szCs w:val="20"/>
              </w:rPr>
              <w:t xml:space="preserve">2011/65/EU </w:t>
            </w:r>
            <w:r>
              <w:rPr>
                <w:rFonts w:asciiTheme="majorHAnsi" w:hAnsiTheme="majorHAnsi" w:cstheme="majorHAnsi"/>
                <w:b/>
                <w:szCs w:val="20"/>
              </w:rPr>
              <w:t>(ANNEX I)</w:t>
            </w:r>
          </w:p>
        </w:tc>
      </w:tr>
      <w:tr w:rsidR="00D30DC1" w:rsidRPr="00344358" w:rsidTr="00FA3A24">
        <w:trPr>
          <w:trHeight w:val="650"/>
          <w:jc w:val="center"/>
        </w:trPr>
        <w:tc>
          <w:tcPr>
            <w:tcW w:w="4886" w:type="dxa"/>
            <w:shd w:val="clear" w:color="auto" w:fill="auto"/>
            <w:tcMar>
              <w:top w:w="57" w:type="dxa"/>
              <w:bottom w:w="57" w:type="dxa"/>
            </w:tcMar>
            <w:vAlign w:val="center"/>
          </w:tcPr>
          <w:p w:rsidR="00D30DC1" w:rsidRPr="00344358" w:rsidRDefault="00D30DC1" w:rsidP="00AC3380">
            <w:pPr>
              <w:tabs>
                <w:tab w:val="left" w:pos="3333"/>
              </w:tabs>
              <w:rPr>
                <w:rFonts w:ascii="Helvetica" w:hAnsi="Helvetica" w:cs="Helvetica"/>
                <w:sz w:val="16"/>
                <w:szCs w:val="16"/>
              </w:rPr>
            </w:pPr>
            <w:r>
              <w:rPr>
                <w:rFonts w:ascii="Helvetica" w:hAnsi="Helvetica"/>
                <w:b/>
                <w:bCs/>
                <w:sz w:val="20"/>
                <w:szCs w:val="20"/>
              </w:rPr>
              <w:t>Megfelelőségi nyilatkozat kiadásának dátuma</w:t>
            </w:r>
            <w:r>
              <w:rPr>
                <w:rFonts w:ascii="Helvetica" w:hAnsi="Helvetica"/>
                <w:bCs/>
                <w:sz w:val="16"/>
                <w:szCs w:val="16"/>
              </w:rPr>
              <w:t xml:space="preserve"> </w:t>
            </w:r>
          </w:p>
          <w:p w:rsidR="00D30DC1" w:rsidRDefault="0085631F" w:rsidP="00AC3380">
            <w:pPr>
              <w:rPr>
                <w:rFonts w:ascii="Helvetica" w:hAnsi="Helvetica" w:cs="Helvetica"/>
                <w:sz w:val="16"/>
                <w:szCs w:val="16"/>
              </w:rPr>
            </w:pPr>
            <w:r>
              <w:rPr>
                <w:rFonts w:ascii="Helvetica" w:hAnsi="Helvetica"/>
                <w:sz w:val="16"/>
                <w:szCs w:val="16"/>
              </w:rPr>
              <w:t xml:space="preserve">  </w:t>
            </w:r>
          </w:p>
          <w:p w:rsidR="0085631F" w:rsidRDefault="0085631F" w:rsidP="00AC3380">
            <w:pPr>
              <w:rPr>
                <w:rFonts w:ascii="Helvetica" w:hAnsi="Helvetica" w:cs="Helvetica"/>
                <w:sz w:val="16"/>
                <w:szCs w:val="16"/>
              </w:rPr>
            </w:pPr>
          </w:p>
          <w:p w:rsidR="0085631F" w:rsidRPr="0085631F" w:rsidRDefault="0085631F" w:rsidP="008F10DE">
            <w:pPr>
              <w:rPr>
                <w:rFonts w:ascii="Helvetica" w:hAnsi="Helvetica" w:cs="Helvetica"/>
                <w:b/>
                <w:sz w:val="16"/>
                <w:szCs w:val="16"/>
              </w:rPr>
            </w:pPr>
          </w:p>
        </w:tc>
        <w:tc>
          <w:tcPr>
            <w:tcW w:w="5501" w:type="dxa"/>
            <w:vMerge w:val="restart"/>
            <w:shd w:val="clear" w:color="auto" w:fill="auto"/>
            <w:tcMar>
              <w:top w:w="57" w:type="dxa"/>
              <w:bottom w:w="57" w:type="dxa"/>
            </w:tcMar>
            <w:vAlign w:val="center"/>
          </w:tcPr>
          <w:p w:rsidR="00FA3A24" w:rsidRPr="004E2DF3" w:rsidRDefault="00FA3A24" w:rsidP="00FA3A24">
            <w:pPr>
              <w:tabs>
                <w:tab w:val="left" w:pos="3333"/>
              </w:tabs>
              <w:jc w:val="center"/>
              <w:rPr>
                <w:rFonts w:ascii="Helvetica" w:hAnsi="Helvetica" w:cs="Helvetica"/>
                <w:sz w:val="18"/>
                <w:szCs w:val="18"/>
              </w:rPr>
            </w:pPr>
            <w:r>
              <w:rPr>
                <w:rFonts w:ascii="Helvetica" w:hAnsi="Helvetica" w:cs="Helvetica"/>
                <w:sz w:val="18"/>
                <w:szCs w:val="18"/>
              </w:rPr>
              <w:t xml:space="preserve">Padova, </w:t>
            </w:r>
            <w:r>
              <w:rPr>
                <w:rFonts w:asciiTheme="majorHAnsi" w:hAnsiTheme="majorHAnsi" w:cstheme="majorHAnsi"/>
                <w:sz w:val="18"/>
                <w:szCs w:val="18"/>
              </w:rPr>
              <w:t>24/11/2021</w:t>
            </w:r>
          </w:p>
          <w:p w:rsidR="00D30DC1" w:rsidRPr="00344358" w:rsidRDefault="00D30DC1" w:rsidP="00FA3A24">
            <w:pPr>
              <w:tabs>
                <w:tab w:val="left" w:pos="3333"/>
              </w:tabs>
              <w:jc w:val="center"/>
              <w:rPr>
                <w:rFonts w:ascii="Helvetica" w:hAnsi="Helvetica" w:cs="Helvetica"/>
                <w:sz w:val="18"/>
                <w:szCs w:val="18"/>
              </w:rPr>
            </w:pPr>
            <w:r>
              <w:rPr>
                <w:rFonts w:ascii="Helvetica" w:hAnsi="Helvetica"/>
                <w:sz w:val="18"/>
                <w:szCs w:val="18"/>
              </w:rPr>
              <w:t>BICARJET S.r.l. jogi képviselője</w:t>
            </w:r>
          </w:p>
          <w:p w:rsidR="00D30DC1" w:rsidRDefault="00D30DC1" w:rsidP="00FA3A24">
            <w:pPr>
              <w:tabs>
                <w:tab w:val="left" w:pos="3333"/>
              </w:tabs>
              <w:jc w:val="center"/>
              <w:rPr>
                <w:rFonts w:ascii="Helvetica" w:hAnsi="Helvetica" w:cs="Helvetica"/>
                <w:sz w:val="18"/>
                <w:szCs w:val="18"/>
              </w:rPr>
            </w:pPr>
            <w:r>
              <w:rPr>
                <w:rFonts w:ascii="Helvetica" w:hAnsi="Helvetica"/>
                <w:sz w:val="18"/>
                <w:szCs w:val="18"/>
              </w:rPr>
              <w:t>Dott. Paolo Alessandro Sommacal</w:t>
            </w:r>
          </w:p>
          <w:p w:rsidR="00D30DC1" w:rsidRPr="00344358" w:rsidRDefault="00D30DC1" w:rsidP="00297C83">
            <w:pPr>
              <w:tabs>
                <w:tab w:val="left" w:pos="3333"/>
              </w:tabs>
              <w:jc w:val="center"/>
              <w:rPr>
                <w:rFonts w:ascii="Helvetica" w:hAnsi="Helvetica" w:cs="Helvetica"/>
                <w:sz w:val="18"/>
                <w:szCs w:val="18"/>
              </w:rPr>
            </w:pPr>
          </w:p>
          <w:p w:rsidR="00D30DC1" w:rsidRDefault="00D30DC1" w:rsidP="00297C83">
            <w:pPr>
              <w:tabs>
                <w:tab w:val="left" w:pos="3333"/>
              </w:tabs>
              <w:jc w:val="center"/>
              <w:rPr>
                <w:rFonts w:ascii="Helvetica" w:hAnsi="Helvetica" w:cs="Helvetica"/>
                <w:sz w:val="18"/>
                <w:szCs w:val="18"/>
              </w:rPr>
            </w:pPr>
            <w:r>
              <w:rPr>
                <w:rFonts w:ascii="Helvetica" w:hAnsi="Helvetica"/>
                <w:sz w:val="18"/>
                <w:szCs w:val="18"/>
              </w:rPr>
              <w:t>Aláírás</w:t>
            </w:r>
          </w:p>
          <w:p w:rsidR="00D30DC1" w:rsidRDefault="00BE71A0" w:rsidP="00297C83">
            <w:pPr>
              <w:tabs>
                <w:tab w:val="left" w:pos="3333"/>
              </w:tabs>
              <w:jc w:val="center"/>
              <w:rPr>
                <w:rFonts w:ascii="Helvetica" w:hAnsi="Helvetica" w:cs="Helvetica"/>
                <w:sz w:val="18"/>
                <w:szCs w:val="18"/>
              </w:rPr>
            </w:pPr>
            <w:r>
              <w:rPr>
                <w:rFonts w:ascii="Helvetica" w:hAnsi="Helvetica"/>
                <w:b/>
                <w:bCs/>
                <w:noProof/>
                <w:sz w:val="20"/>
                <w:szCs w:val="20"/>
                <w:lang w:val="it-IT" w:eastAsia="it-IT"/>
              </w:rPr>
              <w:pict>
                <v:shapetype id="_x0000_t202" coordsize="21600,21600" o:spt="202" path="m,l,21600r21600,l21600,xe">
                  <v:stroke joinstyle="miter"/>
                  <v:path gradientshapeok="t" o:connecttype="rect"/>
                </v:shapetype>
                <v:shape id="Casella di testo 3" o:spid="_x0000_s1026" type="#_x0000_t202" style="position:absolute;left:0;text-align:left;margin-left:34.65pt;margin-top:1.2pt;width:192.6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" fillcolor="white [3201]" stroked="f" strokeweight=".5pt">
                  <v:textbox>
                    <w:txbxContent>
                      <w:p w:rsidR="00D30DC1" w:rsidRDefault="00D30DC1" w:rsidP="00D30DC1">
                        <w:pPr>
                          <w:jc w:val="center"/>
                        </w:pPr>
                        <w:r>
                          <w:rPr>
                            <w:noProof/>
                            <w:lang w:val="it-IT" w:eastAsia="it-IT"/>
                          </w:rPr>
                          <w:drawing>
                            <wp:inline distT="0" distB="0" distL="0" distR="0">
                              <wp:extent cx="1676400" cy="922021"/>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2635" cy="930950"/>
                                      </a:xfrm>
                                      <a:prstGeom prst="rect">
                                        <a:avLst/>
                                      </a:prstGeom>
                                      <a:noFill/>
                                      <a:ln>
                                        <a:noFill/>
                                      </a:ln>
                                    </pic:spPr>
                                  </pic:pic>
                                </a:graphicData>
                              </a:graphic>
                            </wp:inline>
                          </w:drawing>
                        </w:r>
                      </w:p>
                    </w:txbxContent>
                  </v:textbox>
                </v:shape>
              </w:pict>
            </w:r>
          </w:p>
          <w:p w:rsidR="00D30DC1" w:rsidRDefault="00D30DC1" w:rsidP="00297C83">
            <w:pPr>
              <w:tabs>
                <w:tab w:val="left" w:pos="3333"/>
              </w:tabs>
              <w:jc w:val="center"/>
              <w:rPr>
                <w:rFonts w:ascii="Helvetica" w:hAnsi="Helvetica" w:cs="Helvetica"/>
                <w:sz w:val="18"/>
                <w:szCs w:val="18"/>
              </w:rPr>
            </w:pPr>
          </w:p>
          <w:p w:rsidR="00D30DC1" w:rsidRDefault="00D30DC1" w:rsidP="00297C83">
            <w:pPr>
              <w:tabs>
                <w:tab w:val="left" w:pos="3333"/>
              </w:tabs>
              <w:jc w:val="center"/>
              <w:rPr>
                <w:rFonts w:ascii="Helvetica" w:hAnsi="Helvetica" w:cs="Helvetica"/>
                <w:sz w:val="18"/>
                <w:szCs w:val="18"/>
              </w:rPr>
            </w:pPr>
          </w:p>
          <w:p w:rsidR="00D30DC1" w:rsidRDefault="00D30DC1" w:rsidP="00297C83">
            <w:pPr>
              <w:tabs>
                <w:tab w:val="left" w:pos="3333"/>
              </w:tabs>
              <w:jc w:val="center"/>
              <w:rPr>
                <w:rFonts w:ascii="Helvetica" w:hAnsi="Helvetica" w:cs="Helvetica"/>
                <w:sz w:val="18"/>
                <w:szCs w:val="18"/>
              </w:rPr>
            </w:pPr>
          </w:p>
          <w:p w:rsidR="00D30DC1" w:rsidRPr="00344358" w:rsidRDefault="00D30DC1" w:rsidP="00297C83">
            <w:pPr>
              <w:tabs>
                <w:tab w:val="left" w:pos="3333"/>
              </w:tabs>
              <w:jc w:val="center"/>
              <w:rPr>
                <w:rFonts w:ascii="Helvetica" w:hAnsi="Helvetica" w:cs="Helvetica"/>
                <w:sz w:val="18"/>
                <w:szCs w:val="18"/>
              </w:rPr>
            </w:pPr>
          </w:p>
          <w:p w:rsidR="00D30DC1" w:rsidRDefault="00D30DC1" w:rsidP="00297C83">
            <w:pPr>
              <w:tabs>
                <w:tab w:val="left" w:pos="3333"/>
              </w:tabs>
              <w:jc w:val="center"/>
              <w:rPr>
                <w:rFonts w:ascii="Helvetica" w:hAnsi="Helvetica" w:cs="Helvetica"/>
                <w:sz w:val="18"/>
                <w:szCs w:val="18"/>
              </w:rPr>
            </w:pPr>
          </w:p>
          <w:p w:rsidR="0085631F" w:rsidRPr="00344358" w:rsidRDefault="0085631F" w:rsidP="00297C83">
            <w:pPr>
              <w:tabs>
                <w:tab w:val="left" w:pos="3333"/>
              </w:tabs>
              <w:jc w:val="center"/>
              <w:rPr>
                <w:rFonts w:ascii="Helvetica" w:hAnsi="Helvetica" w:cs="Helvetica"/>
                <w:sz w:val="18"/>
                <w:szCs w:val="18"/>
              </w:rPr>
            </w:pPr>
          </w:p>
        </w:tc>
      </w:tr>
      <w:tr w:rsidR="00D30DC1" w:rsidRPr="00344358" w:rsidTr="00FA3A24">
        <w:trPr>
          <w:trHeight w:val="650"/>
          <w:jc w:val="center"/>
        </w:trPr>
        <w:tc>
          <w:tcPr>
            <w:tcW w:w="4886" w:type="dxa"/>
            <w:shd w:val="clear" w:color="auto" w:fill="auto"/>
            <w:tcMar>
              <w:top w:w="57" w:type="dxa"/>
              <w:bottom w:w="57" w:type="dxa"/>
            </w:tcMar>
            <w:vAlign w:val="center"/>
          </w:tcPr>
          <w:p w:rsidR="00D30DC1" w:rsidRPr="00344358" w:rsidRDefault="00D30DC1" w:rsidP="00297C83">
            <w:pPr>
              <w:pStyle w:val="Nessunaspaziatura"/>
              <w:rPr>
                <w:rFonts w:ascii="Helvetica" w:hAnsi="Helvetica" w:cs="Helvetica"/>
                <w:sz w:val="18"/>
                <w:szCs w:val="18"/>
              </w:rPr>
            </w:pPr>
          </w:p>
        </w:tc>
        <w:tc>
          <w:tcPr>
            <w:tcW w:w="5501" w:type="dxa"/>
            <w:vMerge/>
            <w:shd w:val="clear" w:color="auto" w:fill="auto"/>
            <w:tcMar>
              <w:top w:w="57" w:type="dxa"/>
              <w:bottom w:w="57" w:type="dxa"/>
            </w:tcMar>
            <w:vAlign w:val="center"/>
          </w:tcPr>
          <w:p w:rsidR="00D30DC1" w:rsidRPr="00344358" w:rsidRDefault="00D30DC1" w:rsidP="00297C83">
            <w:pPr>
              <w:tabs>
                <w:tab w:val="left" w:pos="3333"/>
              </w:tabs>
              <w:jc w:val="center"/>
              <w:rPr>
                <w:rFonts w:ascii="Helvetica" w:hAnsi="Helvetica" w:cs="Helvetica"/>
                <w:sz w:val="18"/>
                <w:szCs w:val="18"/>
              </w:rPr>
            </w:pPr>
          </w:p>
        </w:tc>
      </w:tr>
      <w:tr w:rsidR="00D30DC1" w:rsidRPr="00344358" w:rsidTr="00FA3A24">
        <w:trPr>
          <w:trHeight w:val="173"/>
          <w:jc w:val="center"/>
        </w:trPr>
        <w:tc>
          <w:tcPr>
            <w:tcW w:w="4886" w:type="dxa"/>
            <w:shd w:val="clear" w:color="auto" w:fill="auto"/>
            <w:tcMar>
              <w:top w:w="57" w:type="dxa"/>
              <w:bottom w:w="57" w:type="dxa"/>
            </w:tcMar>
            <w:vAlign w:val="center"/>
          </w:tcPr>
          <w:p w:rsidR="00D30DC1" w:rsidRPr="00344358" w:rsidRDefault="00D30DC1" w:rsidP="00AC3380">
            <w:pPr>
              <w:tabs>
                <w:tab w:val="left" w:pos="3333"/>
              </w:tabs>
              <w:rPr>
                <w:rFonts w:ascii="Helvetica" w:hAnsi="Helvetica" w:cs="Helvetica"/>
                <w:b/>
                <w:bCs/>
                <w:sz w:val="20"/>
                <w:szCs w:val="20"/>
              </w:rPr>
            </w:pPr>
          </w:p>
        </w:tc>
        <w:tc>
          <w:tcPr>
            <w:tcW w:w="5501" w:type="dxa"/>
            <w:vMerge/>
            <w:shd w:val="clear" w:color="auto" w:fill="auto"/>
            <w:tcMar>
              <w:top w:w="57" w:type="dxa"/>
              <w:bottom w:w="57" w:type="dxa"/>
            </w:tcMar>
            <w:vAlign w:val="center"/>
          </w:tcPr>
          <w:p w:rsidR="00D30DC1" w:rsidRPr="00344358" w:rsidRDefault="00D30DC1" w:rsidP="00297C83">
            <w:pPr>
              <w:tabs>
                <w:tab w:val="left" w:pos="3333"/>
              </w:tabs>
              <w:jc w:val="center"/>
              <w:rPr>
                <w:rFonts w:ascii="Helvetica" w:hAnsi="Helvetica" w:cs="Helvetica"/>
                <w:sz w:val="18"/>
                <w:szCs w:val="18"/>
              </w:rPr>
            </w:pPr>
          </w:p>
        </w:tc>
      </w:tr>
    </w:tbl>
    <w:p w:rsidR="0085631F" w:rsidRDefault="0085631F" w:rsidP="00AC3380">
      <w:pPr>
        <w:tabs>
          <w:tab w:val="left" w:pos="3333"/>
        </w:tabs>
        <w:spacing w:after="0"/>
        <w:rPr>
          <w:rFonts w:ascii="Helvetica" w:hAnsi="Helvetica" w:cs="Helvetica"/>
          <w:sz w:val="18"/>
          <w:szCs w:val="18"/>
        </w:rPr>
      </w:pPr>
    </w:p>
    <w:p w:rsidR="00FA3A24" w:rsidRDefault="00FA3A24" w:rsidP="00AC3380">
      <w:pPr>
        <w:tabs>
          <w:tab w:val="left" w:pos="3333"/>
        </w:tabs>
        <w:spacing w:after="0"/>
        <w:rPr>
          <w:rFonts w:ascii="Helvetica" w:hAnsi="Helvetica" w:cs="Helvetica"/>
          <w:sz w:val="18"/>
          <w:szCs w:val="18"/>
        </w:rPr>
      </w:pPr>
    </w:p>
    <w:p w:rsidR="00FA3A24" w:rsidRDefault="00FA3A24" w:rsidP="00AC3380">
      <w:pPr>
        <w:tabs>
          <w:tab w:val="left" w:pos="3333"/>
        </w:tabs>
        <w:spacing w:after="0"/>
        <w:rPr>
          <w:rFonts w:ascii="Helvetica" w:hAnsi="Helvetica" w:cs="Helvetica"/>
          <w:sz w:val="18"/>
          <w:szCs w:val="18"/>
        </w:rPr>
      </w:pPr>
    </w:p>
    <w:p w:rsidR="00FA3A24" w:rsidRDefault="00FA3A24" w:rsidP="00AC3380">
      <w:pPr>
        <w:tabs>
          <w:tab w:val="left" w:pos="3333"/>
        </w:tabs>
        <w:spacing w:after="0"/>
        <w:rPr>
          <w:rFonts w:ascii="Helvetica" w:hAnsi="Helvetica" w:cs="Helvetica"/>
          <w:sz w:val="18"/>
          <w:szCs w:val="18"/>
        </w:rPr>
      </w:pPr>
    </w:p>
    <w:p w:rsidR="00FA3A24" w:rsidRDefault="00FA3A24" w:rsidP="00FA3A24">
      <w:pPr>
        <w:tabs>
          <w:tab w:val="left" w:pos="3333"/>
        </w:tabs>
        <w:spacing w:after="0"/>
        <w:rPr>
          <w:rFonts w:ascii="Helvetica" w:hAnsi="Helvetica" w:cs="Helvetica"/>
          <w:sz w:val="18"/>
          <w:szCs w:val="18"/>
        </w:rPr>
      </w:pPr>
    </w:p>
    <w:p w:rsidR="00FA3A24" w:rsidRDefault="00FA3A24" w:rsidP="00FA3A24">
      <w:pPr>
        <w:tabs>
          <w:tab w:val="left" w:pos="3333"/>
        </w:tabs>
        <w:spacing w:after="0"/>
        <w:rPr>
          <w:rFonts w:ascii="Helvetica" w:hAnsi="Helvetica" w:cs="Helvetica"/>
          <w:sz w:val="18"/>
          <w:szCs w:val="18"/>
        </w:rPr>
      </w:pPr>
    </w:p>
    <w:p w:rsidR="00FA3A24" w:rsidRDefault="00FA3A24" w:rsidP="00FA3A24">
      <w:pPr>
        <w:tabs>
          <w:tab w:val="left" w:pos="3333"/>
        </w:tabs>
        <w:spacing w:after="0"/>
        <w:rPr>
          <w:rFonts w:ascii="Helvetica" w:hAnsi="Helvetica" w:cs="Helvetica"/>
          <w:sz w:val="18"/>
          <w:szCs w:val="18"/>
        </w:rPr>
      </w:pPr>
    </w:p>
    <w:p w:rsidR="00E807EF" w:rsidRDefault="00E807EF" w:rsidP="00FA3A24">
      <w:pPr>
        <w:tabs>
          <w:tab w:val="left" w:pos="3333"/>
        </w:tabs>
        <w:spacing w:after="0"/>
        <w:rPr>
          <w:rFonts w:ascii="Helvetica" w:hAnsi="Helvetica" w:cs="Helvetica"/>
          <w:sz w:val="18"/>
          <w:szCs w:val="18"/>
        </w:rPr>
      </w:pPr>
    </w:p>
    <w:p w:rsidR="00E807EF" w:rsidRDefault="00E807EF" w:rsidP="00FA3A24">
      <w:pPr>
        <w:tabs>
          <w:tab w:val="left" w:pos="3333"/>
        </w:tabs>
        <w:spacing w:after="0"/>
        <w:rPr>
          <w:rFonts w:ascii="Helvetica" w:hAnsi="Helvetica" w:cs="Helvetica"/>
          <w:sz w:val="18"/>
          <w:szCs w:val="18"/>
        </w:rPr>
      </w:pPr>
    </w:p>
    <w:p w:rsidR="00E807EF" w:rsidRDefault="00E807EF" w:rsidP="00FA3A24">
      <w:pPr>
        <w:tabs>
          <w:tab w:val="left" w:pos="3333"/>
        </w:tabs>
        <w:spacing w:after="0"/>
        <w:rPr>
          <w:rFonts w:ascii="Helvetica" w:hAnsi="Helvetica" w:cs="Helvetica"/>
          <w:sz w:val="18"/>
          <w:szCs w:val="18"/>
        </w:rPr>
      </w:pPr>
    </w:p>
    <w:p w:rsidR="00FA3A24" w:rsidRDefault="00FA3A24" w:rsidP="00FA3A24">
      <w:pPr>
        <w:tabs>
          <w:tab w:val="left" w:pos="3333"/>
        </w:tabs>
        <w:spacing w:after="0"/>
        <w:rPr>
          <w:rFonts w:ascii="Helvetica" w:hAnsi="Helvetica" w:cs="Helvetica"/>
          <w:sz w:val="18"/>
          <w:szCs w:val="18"/>
        </w:rPr>
      </w:pPr>
      <w:r>
        <w:rPr>
          <w:rFonts w:ascii="Helvetica" w:hAnsi="Helvetica" w:cs="Helvetica"/>
          <w:sz w:val="18"/>
          <w:szCs w:val="18"/>
        </w:rPr>
        <w:t>ANNEX I</w:t>
      </w:r>
    </w:p>
    <w:p w:rsidR="00FA3A24" w:rsidRDefault="00FA3A24" w:rsidP="00FA3A24">
      <w:pPr>
        <w:tabs>
          <w:tab w:val="left" w:pos="3333"/>
        </w:tabs>
        <w:spacing w:after="0"/>
        <w:rPr>
          <w:rFonts w:ascii="Helvetica" w:hAnsi="Helvetica" w:cs="Helvetica"/>
          <w:sz w:val="18"/>
          <w:szCs w:val="18"/>
        </w:rPr>
      </w:pPr>
    </w:p>
    <w:p w:rsidR="00FA3A24" w:rsidRPr="00267F47" w:rsidRDefault="00FA3A24" w:rsidP="00FA3A24">
      <w:pPr>
        <w:spacing w:before="120" w:after="120" w:line="276" w:lineRule="auto"/>
        <w:jc w:val="center"/>
        <w:rPr>
          <w:rFonts w:ascii="Calibri" w:eastAsia="Times New Roman" w:hAnsi="Calibri" w:cs="Times New Roman"/>
          <w:b/>
          <w:bCs/>
          <w:sz w:val="22"/>
          <w:szCs w:val="20"/>
          <w:lang w:val="en-GB" w:bidi="en-US"/>
        </w:rPr>
      </w:pPr>
      <w:r w:rsidRPr="00267F47">
        <w:rPr>
          <w:rFonts w:ascii="Calibri" w:eastAsia="Times New Roman" w:hAnsi="Calibri" w:cs="Times New Roman"/>
          <w:b/>
          <w:bCs/>
          <w:sz w:val="22"/>
          <w:szCs w:val="20"/>
          <w:lang w:val="en-GB" w:bidi="en-US"/>
        </w:rPr>
        <w:t>Declaration of Conformity to EU RoHS</w:t>
      </w:r>
    </w:p>
    <w:p w:rsidR="00FA3A24" w:rsidRPr="00267F47" w:rsidRDefault="00FA3A24" w:rsidP="00FA3A24">
      <w:pPr>
        <w:spacing w:after="0"/>
        <w:jc w:val="both"/>
        <w:rPr>
          <w:rFonts w:ascii="Calibri" w:eastAsia="Times New Roman" w:hAnsi="Calibri" w:cs="Calibri"/>
          <w:sz w:val="22"/>
          <w:szCs w:val="20"/>
        </w:rPr>
      </w:pPr>
      <w:r w:rsidRPr="00267F47">
        <w:rPr>
          <w:rFonts w:ascii="Calibri" w:eastAsia="Times New Roman" w:hAnsi="Calibri" w:cs="Calibri"/>
          <w:sz w:val="22"/>
          <w:szCs w:val="20"/>
        </w:rPr>
        <w:t>Products are in compliance with Directive 2011/65/EU of the European Parliament and of the Council of 8 June 2011 on the restriction of the use of certain hazardous substances in electrical and electronic equipment (also known as “RoHS Recast”).  In addition, this declaration of conformity is issued under the sole responsibility</w:t>
      </w:r>
      <w:r w:rsidRPr="00267F47">
        <w:rPr>
          <w:rFonts w:ascii="Calibri" w:eastAsia="Times New Roman" w:hAnsi="Calibri" w:cs="Calibri"/>
          <w:sz w:val="22"/>
          <w:szCs w:val="20"/>
          <w:lang w:val="en-GB"/>
        </w:rPr>
        <w:t xml:space="preserve"> </w:t>
      </w:r>
      <w:r>
        <w:rPr>
          <w:rFonts w:ascii="Calibri" w:eastAsia="Times New Roman" w:hAnsi="Calibri" w:cs="Calibri"/>
          <w:sz w:val="22"/>
          <w:szCs w:val="20"/>
          <w:lang w:val="en-GB"/>
        </w:rPr>
        <w:t xml:space="preserve">of the manufacturer, </w:t>
      </w:r>
      <w:proofErr w:type="spellStart"/>
      <w:r w:rsidRPr="00267F47">
        <w:rPr>
          <w:rFonts w:ascii="Calibri" w:eastAsia="Times New Roman" w:hAnsi="Calibri" w:cs="Calibri"/>
          <w:sz w:val="22"/>
          <w:szCs w:val="20"/>
          <w:lang w:val="en-GB"/>
        </w:rPr>
        <w:t>sp</w:t>
      </w:r>
      <w:proofErr w:type="spellEnd"/>
      <w:r w:rsidRPr="00267F47">
        <w:rPr>
          <w:rFonts w:ascii="Calibri" w:eastAsia="Times New Roman" w:hAnsi="Calibri" w:cs="Calibri"/>
          <w:sz w:val="22"/>
          <w:szCs w:val="20"/>
        </w:rPr>
        <w:t>ecifically, products manufactured do not contain the substances listed in the table below in concentrations greater than the listed maximum value.</w:t>
      </w:r>
    </w:p>
    <w:p w:rsidR="00FA3A24" w:rsidRPr="00267F47" w:rsidRDefault="00FA3A24" w:rsidP="00FA3A24">
      <w:pPr>
        <w:spacing w:after="0"/>
        <w:jc w:val="both"/>
        <w:rPr>
          <w:rFonts w:ascii="Calibri" w:eastAsia="Times New Roman" w:hAnsi="Calibri" w:cs="Calibri"/>
          <w:sz w:val="22"/>
          <w:szCs w:val="20"/>
        </w:rPr>
      </w:pPr>
      <w:r w:rsidRPr="00267F47">
        <w:rPr>
          <w:rFonts w:ascii="Calibri" w:eastAsia="Times New Roman" w:hAnsi="Calibri" w:cs="Times New Roman"/>
          <w:sz w:val="22"/>
          <w:szCs w:val="20"/>
        </w:rPr>
        <w:t>This declaration also implements the COMMISSION DELEGATED DIRECTIVE (EU) 2015/863 of 31 March 2015 amending Annex II to Directive 2011/65/EU.</w:t>
      </w:r>
    </w:p>
    <w:p w:rsidR="00FA3A24" w:rsidRPr="00267F47" w:rsidRDefault="00FA3A24" w:rsidP="00FA3A24">
      <w:pPr>
        <w:spacing w:after="0"/>
        <w:rPr>
          <w:rFonts w:ascii="Calibri" w:eastAsia="Times New Roman" w:hAnsi="Calibri" w:cs="Calibri"/>
          <w:sz w:val="22"/>
          <w:szCs w:val="20"/>
        </w:rPr>
      </w:pPr>
    </w:p>
    <w:tbl>
      <w:tblPr>
        <w:tblW w:w="5000" w:type="pct"/>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24"/>
        <w:gridCol w:w="4924"/>
      </w:tblGrid>
      <w:tr w:rsidR="00FA3A24" w:rsidRPr="00267F47" w:rsidTr="00416ED3">
        <w:trPr>
          <w:trHeight w:val="157"/>
          <w:jc w:val="center"/>
        </w:trPr>
        <w:tc>
          <w:tcPr>
            <w:tcW w:w="2500" w:type="pct"/>
            <w:tcBorders>
              <w:top w:val="single" w:sz="8" w:space="0" w:color="000000"/>
              <w:left w:val="single" w:sz="8" w:space="0" w:color="000000"/>
              <w:bottom w:val="single" w:sz="8" w:space="0" w:color="000000"/>
              <w:right w:val="single" w:sz="8" w:space="0" w:color="000000"/>
            </w:tcBorders>
            <w:hideMark/>
          </w:tcPr>
          <w:p w:rsidR="00FA3A24" w:rsidRPr="00267F47" w:rsidRDefault="00FA3A24" w:rsidP="00416ED3">
            <w:pPr>
              <w:spacing w:after="0"/>
              <w:rPr>
                <w:rFonts w:ascii="Calibri" w:eastAsia="Times New Roman" w:hAnsi="Calibri" w:cs="Times New Roman"/>
                <w:b/>
                <w:bCs/>
                <w:sz w:val="22"/>
                <w:szCs w:val="20"/>
              </w:rPr>
            </w:pPr>
            <w:r w:rsidRPr="00267F47">
              <w:rPr>
                <w:rFonts w:ascii="Calibri" w:eastAsia="Times New Roman" w:hAnsi="Calibri" w:cs="Times New Roman"/>
                <w:b/>
                <w:bCs/>
                <w:sz w:val="22"/>
                <w:szCs w:val="20"/>
              </w:rPr>
              <w:t xml:space="preserve">Substance </w:t>
            </w:r>
          </w:p>
        </w:tc>
        <w:tc>
          <w:tcPr>
            <w:tcW w:w="2500" w:type="pct"/>
            <w:tcBorders>
              <w:top w:val="single" w:sz="8" w:space="0" w:color="000000"/>
              <w:left w:val="single" w:sz="8" w:space="0" w:color="000000"/>
              <w:bottom w:val="single" w:sz="8" w:space="0" w:color="000000"/>
              <w:right w:val="single" w:sz="8" w:space="0" w:color="000000"/>
            </w:tcBorders>
            <w:hideMark/>
          </w:tcPr>
          <w:p w:rsidR="00FA3A24" w:rsidRPr="00267F47" w:rsidRDefault="00FA3A24" w:rsidP="00416ED3">
            <w:pPr>
              <w:spacing w:after="0"/>
              <w:rPr>
                <w:rFonts w:ascii="Calibri" w:eastAsia="Times New Roman" w:hAnsi="Calibri" w:cs="Times New Roman"/>
                <w:b/>
                <w:bCs/>
                <w:sz w:val="22"/>
                <w:szCs w:val="20"/>
              </w:rPr>
            </w:pPr>
            <w:r w:rsidRPr="00267F47">
              <w:rPr>
                <w:rFonts w:ascii="Calibri" w:eastAsia="Times New Roman" w:hAnsi="Calibri" w:cs="Times New Roman"/>
                <w:b/>
                <w:bCs/>
                <w:sz w:val="22"/>
                <w:szCs w:val="20"/>
              </w:rPr>
              <w:t>Maximum Limit %</w:t>
            </w:r>
          </w:p>
        </w:tc>
      </w:tr>
      <w:tr w:rsidR="00FA3A24" w:rsidRPr="00267F47" w:rsidTr="00416ED3">
        <w:trPr>
          <w:trHeight w:val="157"/>
          <w:jc w:val="center"/>
        </w:trPr>
        <w:tc>
          <w:tcPr>
            <w:tcW w:w="2500" w:type="pct"/>
            <w:tcBorders>
              <w:top w:val="single" w:sz="8" w:space="0" w:color="000000"/>
              <w:left w:val="single" w:sz="8" w:space="0" w:color="000000"/>
              <w:bottom w:val="single" w:sz="8" w:space="0" w:color="000000"/>
              <w:right w:val="single" w:sz="8" w:space="0" w:color="000000"/>
            </w:tcBorders>
          </w:tcPr>
          <w:p w:rsidR="00FA3A24" w:rsidRPr="00267F47" w:rsidRDefault="00FA3A24" w:rsidP="00416ED3">
            <w:pPr>
              <w:spacing w:after="0"/>
              <w:rPr>
                <w:rFonts w:ascii="Calibri" w:eastAsia="Times New Roman" w:hAnsi="Calibri" w:cs="Times New Roman"/>
                <w:sz w:val="22"/>
                <w:szCs w:val="20"/>
              </w:rPr>
            </w:pPr>
            <w:r w:rsidRPr="00267F47">
              <w:rPr>
                <w:rFonts w:ascii="Calibri" w:eastAsia="Times New Roman" w:hAnsi="Calibri" w:cs="Times New Roman"/>
                <w:sz w:val="22"/>
                <w:szCs w:val="20"/>
              </w:rPr>
              <w:t>Lead</w:t>
            </w:r>
          </w:p>
        </w:tc>
        <w:tc>
          <w:tcPr>
            <w:tcW w:w="2500" w:type="pct"/>
            <w:tcBorders>
              <w:top w:val="single" w:sz="8" w:space="0" w:color="000000"/>
              <w:left w:val="single" w:sz="8" w:space="0" w:color="000000"/>
              <w:bottom w:val="single" w:sz="8" w:space="0" w:color="000000"/>
              <w:right w:val="single" w:sz="8" w:space="0" w:color="000000"/>
            </w:tcBorders>
          </w:tcPr>
          <w:p w:rsidR="00FA3A24" w:rsidRPr="00267F47" w:rsidRDefault="00FA3A24" w:rsidP="00416ED3">
            <w:pPr>
              <w:spacing w:after="0"/>
              <w:rPr>
                <w:rFonts w:ascii="Calibri" w:eastAsia="Times New Roman" w:hAnsi="Calibri" w:cs="Times New Roman"/>
                <w:sz w:val="22"/>
                <w:szCs w:val="20"/>
              </w:rPr>
            </w:pPr>
            <w:r w:rsidRPr="00267F47">
              <w:rPr>
                <w:rFonts w:ascii="Calibri" w:eastAsia="Times New Roman" w:hAnsi="Calibri" w:cs="Times New Roman"/>
                <w:sz w:val="22"/>
                <w:szCs w:val="20"/>
              </w:rPr>
              <w:t>0,1</w:t>
            </w:r>
          </w:p>
        </w:tc>
      </w:tr>
      <w:tr w:rsidR="00FA3A24" w:rsidRPr="00267F47" w:rsidTr="00416ED3">
        <w:trPr>
          <w:trHeight w:val="172"/>
          <w:jc w:val="center"/>
        </w:trPr>
        <w:tc>
          <w:tcPr>
            <w:tcW w:w="2500" w:type="pct"/>
            <w:tcBorders>
              <w:top w:val="single" w:sz="8" w:space="0" w:color="000000"/>
              <w:left w:val="single" w:sz="8" w:space="0" w:color="000000"/>
              <w:bottom w:val="single" w:sz="8" w:space="0" w:color="000000"/>
              <w:right w:val="single" w:sz="8" w:space="0" w:color="000000"/>
            </w:tcBorders>
            <w:vAlign w:val="center"/>
          </w:tcPr>
          <w:p w:rsidR="00FA3A24" w:rsidRPr="00267F47" w:rsidRDefault="00FA3A24" w:rsidP="00416ED3">
            <w:pPr>
              <w:spacing w:after="0"/>
              <w:rPr>
                <w:rFonts w:ascii="Calibri" w:eastAsia="Times New Roman" w:hAnsi="Calibri" w:cs="Times New Roman"/>
                <w:sz w:val="22"/>
                <w:szCs w:val="20"/>
              </w:rPr>
            </w:pPr>
            <w:r w:rsidRPr="00267F47">
              <w:rPr>
                <w:rFonts w:ascii="Calibri" w:eastAsia="Times New Roman" w:hAnsi="Calibri" w:cs="Times New Roman"/>
                <w:sz w:val="22"/>
                <w:szCs w:val="20"/>
              </w:rPr>
              <w:t>Mercury</w:t>
            </w:r>
          </w:p>
        </w:tc>
        <w:tc>
          <w:tcPr>
            <w:tcW w:w="2500" w:type="pct"/>
            <w:tcBorders>
              <w:top w:val="single" w:sz="8" w:space="0" w:color="000000"/>
              <w:left w:val="single" w:sz="8" w:space="0" w:color="000000"/>
              <w:bottom w:val="single" w:sz="8" w:space="0" w:color="000000"/>
              <w:right w:val="single" w:sz="8" w:space="0" w:color="000000"/>
            </w:tcBorders>
          </w:tcPr>
          <w:p w:rsidR="00FA3A24" w:rsidRPr="00267F47" w:rsidRDefault="00FA3A24" w:rsidP="00416ED3">
            <w:pPr>
              <w:spacing w:after="0"/>
              <w:rPr>
                <w:rFonts w:ascii="Calibri" w:eastAsia="Times New Roman" w:hAnsi="Calibri" w:cs="Times New Roman"/>
                <w:sz w:val="22"/>
                <w:szCs w:val="20"/>
              </w:rPr>
            </w:pPr>
            <w:r w:rsidRPr="00267F47">
              <w:rPr>
                <w:rFonts w:ascii="Calibri" w:eastAsia="Times New Roman" w:hAnsi="Calibri" w:cs="Times New Roman"/>
                <w:sz w:val="22"/>
                <w:szCs w:val="20"/>
              </w:rPr>
              <w:t>0,1</w:t>
            </w:r>
          </w:p>
        </w:tc>
      </w:tr>
      <w:tr w:rsidR="00FA3A24" w:rsidRPr="00267F47" w:rsidTr="00416ED3">
        <w:trPr>
          <w:trHeight w:val="157"/>
          <w:jc w:val="center"/>
        </w:trPr>
        <w:tc>
          <w:tcPr>
            <w:tcW w:w="2500" w:type="pct"/>
            <w:tcBorders>
              <w:top w:val="single" w:sz="8" w:space="0" w:color="000000"/>
              <w:left w:val="single" w:sz="8" w:space="0" w:color="000000"/>
              <w:bottom w:val="single" w:sz="8" w:space="0" w:color="000000"/>
              <w:right w:val="single" w:sz="8" w:space="0" w:color="000000"/>
            </w:tcBorders>
          </w:tcPr>
          <w:p w:rsidR="00FA3A24" w:rsidRPr="00267F47" w:rsidRDefault="00FA3A24" w:rsidP="00416ED3">
            <w:pPr>
              <w:spacing w:after="0"/>
              <w:rPr>
                <w:rFonts w:ascii="Calibri" w:eastAsia="Times New Roman" w:hAnsi="Calibri" w:cs="Times New Roman"/>
                <w:sz w:val="22"/>
                <w:szCs w:val="20"/>
              </w:rPr>
            </w:pPr>
            <w:r w:rsidRPr="00267F47">
              <w:rPr>
                <w:rFonts w:ascii="Calibri" w:eastAsia="Times New Roman" w:hAnsi="Calibri" w:cs="Times New Roman"/>
                <w:sz w:val="22"/>
                <w:szCs w:val="20"/>
              </w:rPr>
              <w:t>Cadmium</w:t>
            </w:r>
          </w:p>
        </w:tc>
        <w:tc>
          <w:tcPr>
            <w:tcW w:w="2500" w:type="pct"/>
            <w:tcBorders>
              <w:top w:val="single" w:sz="8" w:space="0" w:color="000000"/>
              <w:left w:val="single" w:sz="8" w:space="0" w:color="000000"/>
              <w:bottom w:val="single" w:sz="8" w:space="0" w:color="000000"/>
              <w:right w:val="single" w:sz="8" w:space="0" w:color="000000"/>
            </w:tcBorders>
          </w:tcPr>
          <w:p w:rsidR="00FA3A24" w:rsidRPr="00267F47" w:rsidRDefault="00FA3A24" w:rsidP="00416ED3">
            <w:pPr>
              <w:spacing w:after="0"/>
              <w:rPr>
                <w:rFonts w:ascii="Calibri" w:eastAsia="Times New Roman" w:hAnsi="Calibri" w:cs="Times New Roman"/>
                <w:sz w:val="22"/>
                <w:szCs w:val="20"/>
              </w:rPr>
            </w:pPr>
            <w:r w:rsidRPr="00267F47">
              <w:rPr>
                <w:rFonts w:ascii="Calibri" w:eastAsia="Times New Roman" w:hAnsi="Calibri" w:cs="Times New Roman"/>
                <w:sz w:val="22"/>
                <w:szCs w:val="20"/>
              </w:rPr>
              <w:t>0,</w:t>
            </w:r>
            <w:r>
              <w:rPr>
                <w:rFonts w:ascii="Calibri" w:eastAsia="Times New Roman" w:hAnsi="Calibri" w:cs="Times New Roman"/>
                <w:sz w:val="22"/>
                <w:szCs w:val="20"/>
              </w:rPr>
              <w:t>0</w:t>
            </w:r>
            <w:r w:rsidRPr="00267F47">
              <w:rPr>
                <w:rFonts w:ascii="Calibri" w:eastAsia="Times New Roman" w:hAnsi="Calibri" w:cs="Times New Roman"/>
                <w:sz w:val="22"/>
                <w:szCs w:val="20"/>
              </w:rPr>
              <w:t>1</w:t>
            </w:r>
          </w:p>
        </w:tc>
      </w:tr>
      <w:tr w:rsidR="00FA3A24" w:rsidRPr="00267F47" w:rsidTr="00416ED3">
        <w:trPr>
          <w:trHeight w:val="172"/>
          <w:jc w:val="center"/>
        </w:trPr>
        <w:tc>
          <w:tcPr>
            <w:tcW w:w="2500" w:type="pct"/>
            <w:tcBorders>
              <w:top w:val="single" w:sz="8" w:space="0" w:color="000000"/>
              <w:left w:val="single" w:sz="8" w:space="0" w:color="000000"/>
              <w:bottom w:val="single" w:sz="8" w:space="0" w:color="000000"/>
              <w:right w:val="single" w:sz="8" w:space="0" w:color="000000"/>
            </w:tcBorders>
          </w:tcPr>
          <w:p w:rsidR="00FA3A24" w:rsidRPr="00267F47" w:rsidRDefault="00FA3A24" w:rsidP="00416ED3">
            <w:pPr>
              <w:spacing w:after="0"/>
              <w:rPr>
                <w:rFonts w:ascii="Calibri" w:eastAsia="Times New Roman" w:hAnsi="Calibri" w:cs="Times New Roman"/>
                <w:sz w:val="22"/>
                <w:szCs w:val="20"/>
              </w:rPr>
            </w:pPr>
            <w:r w:rsidRPr="00267F47">
              <w:rPr>
                <w:rFonts w:ascii="Calibri" w:eastAsia="Times New Roman" w:hAnsi="Calibri" w:cs="Times New Roman"/>
                <w:sz w:val="22"/>
                <w:szCs w:val="20"/>
              </w:rPr>
              <w:t>Hexavalent chromium</w:t>
            </w:r>
          </w:p>
        </w:tc>
        <w:tc>
          <w:tcPr>
            <w:tcW w:w="2500" w:type="pct"/>
            <w:tcBorders>
              <w:top w:val="single" w:sz="8" w:space="0" w:color="000000"/>
              <w:left w:val="single" w:sz="8" w:space="0" w:color="000000"/>
              <w:bottom w:val="single" w:sz="8" w:space="0" w:color="000000"/>
              <w:right w:val="single" w:sz="8" w:space="0" w:color="000000"/>
            </w:tcBorders>
          </w:tcPr>
          <w:p w:rsidR="00FA3A24" w:rsidRPr="00267F47" w:rsidRDefault="00FA3A24" w:rsidP="00416ED3">
            <w:pPr>
              <w:spacing w:after="0"/>
              <w:rPr>
                <w:rFonts w:ascii="Calibri" w:eastAsia="Times New Roman" w:hAnsi="Calibri" w:cs="Times New Roman"/>
                <w:sz w:val="22"/>
                <w:szCs w:val="20"/>
              </w:rPr>
            </w:pPr>
            <w:r w:rsidRPr="00267F47">
              <w:rPr>
                <w:rFonts w:ascii="Calibri" w:eastAsia="Times New Roman" w:hAnsi="Calibri" w:cs="Times New Roman"/>
                <w:sz w:val="22"/>
                <w:szCs w:val="20"/>
              </w:rPr>
              <w:t>0,1</w:t>
            </w:r>
          </w:p>
        </w:tc>
      </w:tr>
      <w:tr w:rsidR="00FA3A24" w:rsidRPr="00267F47" w:rsidTr="00416ED3">
        <w:trPr>
          <w:trHeight w:val="157"/>
          <w:jc w:val="center"/>
        </w:trPr>
        <w:tc>
          <w:tcPr>
            <w:tcW w:w="2500" w:type="pct"/>
            <w:tcBorders>
              <w:top w:val="single" w:sz="8" w:space="0" w:color="000000"/>
              <w:left w:val="single" w:sz="8" w:space="0" w:color="000000"/>
              <w:bottom w:val="single" w:sz="8" w:space="0" w:color="000000"/>
              <w:right w:val="single" w:sz="8" w:space="0" w:color="000000"/>
            </w:tcBorders>
          </w:tcPr>
          <w:p w:rsidR="00FA3A24" w:rsidRPr="00267F47" w:rsidRDefault="00FA3A24" w:rsidP="00416ED3">
            <w:pPr>
              <w:spacing w:after="0"/>
              <w:rPr>
                <w:rFonts w:ascii="Calibri" w:eastAsia="Times New Roman" w:hAnsi="Calibri" w:cs="Times New Roman"/>
                <w:sz w:val="22"/>
                <w:szCs w:val="20"/>
              </w:rPr>
            </w:pPr>
            <w:r w:rsidRPr="00267F47">
              <w:rPr>
                <w:rFonts w:ascii="Calibri" w:eastAsia="Times New Roman" w:hAnsi="Calibri" w:cs="Times New Roman"/>
                <w:sz w:val="22"/>
                <w:szCs w:val="20"/>
              </w:rPr>
              <w:t>Polybrominated biphenyls (PBB)</w:t>
            </w:r>
          </w:p>
        </w:tc>
        <w:tc>
          <w:tcPr>
            <w:tcW w:w="2500" w:type="pct"/>
            <w:tcBorders>
              <w:top w:val="single" w:sz="8" w:space="0" w:color="000000"/>
              <w:left w:val="single" w:sz="8" w:space="0" w:color="000000"/>
              <w:bottom w:val="single" w:sz="8" w:space="0" w:color="000000"/>
              <w:right w:val="single" w:sz="8" w:space="0" w:color="000000"/>
            </w:tcBorders>
          </w:tcPr>
          <w:p w:rsidR="00FA3A24" w:rsidRPr="00267F47" w:rsidRDefault="00FA3A24" w:rsidP="00416ED3">
            <w:pPr>
              <w:spacing w:after="0"/>
              <w:rPr>
                <w:rFonts w:ascii="Calibri" w:eastAsia="Times New Roman" w:hAnsi="Calibri" w:cs="Times New Roman"/>
                <w:sz w:val="22"/>
                <w:szCs w:val="20"/>
              </w:rPr>
            </w:pPr>
            <w:r w:rsidRPr="00267F47">
              <w:rPr>
                <w:rFonts w:ascii="Calibri" w:eastAsia="Times New Roman" w:hAnsi="Calibri" w:cs="Times New Roman"/>
                <w:sz w:val="22"/>
                <w:szCs w:val="20"/>
              </w:rPr>
              <w:t>0,1</w:t>
            </w:r>
          </w:p>
        </w:tc>
      </w:tr>
      <w:tr w:rsidR="00FA3A24" w:rsidRPr="00267F47" w:rsidTr="00416ED3">
        <w:trPr>
          <w:trHeight w:val="157"/>
          <w:jc w:val="center"/>
        </w:trPr>
        <w:tc>
          <w:tcPr>
            <w:tcW w:w="2500" w:type="pct"/>
            <w:tcBorders>
              <w:top w:val="single" w:sz="8" w:space="0" w:color="000000"/>
              <w:left w:val="single" w:sz="8" w:space="0" w:color="000000"/>
              <w:bottom w:val="single" w:sz="8" w:space="0" w:color="000000"/>
              <w:right w:val="single" w:sz="8" w:space="0" w:color="000000"/>
            </w:tcBorders>
          </w:tcPr>
          <w:p w:rsidR="00FA3A24" w:rsidRPr="00267F47" w:rsidRDefault="00FA3A24" w:rsidP="00416ED3">
            <w:pPr>
              <w:spacing w:after="0"/>
              <w:rPr>
                <w:rFonts w:ascii="Calibri" w:eastAsia="Times New Roman" w:hAnsi="Calibri" w:cs="Times New Roman"/>
                <w:sz w:val="22"/>
                <w:szCs w:val="20"/>
              </w:rPr>
            </w:pPr>
            <w:r w:rsidRPr="00267F47">
              <w:rPr>
                <w:rFonts w:ascii="Calibri" w:eastAsia="Times New Roman" w:hAnsi="Calibri" w:cs="Times New Roman"/>
                <w:sz w:val="22"/>
                <w:szCs w:val="20"/>
              </w:rPr>
              <w:t>Polybrominated diphenyl ethers (PBDE)</w:t>
            </w:r>
          </w:p>
        </w:tc>
        <w:tc>
          <w:tcPr>
            <w:tcW w:w="2500" w:type="pct"/>
            <w:tcBorders>
              <w:top w:val="single" w:sz="8" w:space="0" w:color="000000"/>
              <w:left w:val="single" w:sz="8" w:space="0" w:color="000000"/>
              <w:bottom w:val="single" w:sz="8" w:space="0" w:color="000000"/>
              <w:right w:val="single" w:sz="8" w:space="0" w:color="000000"/>
            </w:tcBorders>
          </w:tcPr>
          <w:p w:rsidR="00FA3A24" w:rsidRPr="00267F47" w:rsidRDefault="00FA3A24" w:rsidP="00416ED3">
            <w:pPr>
              <w:spacing w:after="0"/>
              <w:rPr>
                <w:rFonts w:ascii="Calibri" w:eastAsia="Times New Roman" w:hAnsi="Calibri" w:cs="Times New Roman"/>
                <w:sz w:val="22"/>
                <w:szCs w:val="20"/>
              </w:rPr>
            </w:pPr>
            <w:r w:rsidRPr="00267F47">
              <w:rPr>
                <w:rFonts w:ascii="Calibri" w:eastAsia="Times New Roman" w:hAnsi="Calibri" w:cs="Times New Roman"/>
                <w:sz w:val="22"/>
                <w:szCs w:val="20"/>
              </w:rPr>
              <w:t>0,1</w:t>
            </w:r>
          </w:p>
        </w:tc>
      </w:tr>
      <w:tr w:rsidR="00FA3A24" w:rsidRPr="00267F47" w:rsidTr="00416ED3">
        <w:trPr>
          <w:trHeight w:val="157"/>
          <w:jc w:val="center"/>
        </w:trPr>
        <w:tc>
          <w:tcPr>
            <w:tcW w:w="2500" w:type="pct"/>
            <w:tcBorders>
              <w:top w:val="single" w:sz="8" w:space="0" w:color="000000"/>
              <w:left w:val="single" w:sz="8" w:space="0" w:color="000000"/>
              <w:bottom w:val="single" w:sz="8" w:space="0" w:color="000000"/>
              <w:right w:val="single" w:sz="8" w:space="0" w:color="000000"/>
            </w:tcBorders>
          </w:tcPr>
          <w:p w:rsidR="00FA3A24" w:rsidRPr="00267F47" w:rsidRDefault="00FA3A24" w:rsidP="00416ED3">
            <w:pPr>
              <w:spacing w:after="0"/>
              <w:rPr>
                <w:rFonts w:ascii="Calibri" w:eastAsia="Times New Roman" w:hAnsi="Calibri" w:cs="Times New Roman"/>
                <w:sz w:val="22"/>
                <w:szCs w:val="20"/>
              </w:rPr>
            </w:pPr>
            <w:r w:rsidRPr="00267F47">
              <w:rPr>
                <w:rFonts w:ascii="Calibri" w:eastAsia="Times New Roman" w:hAnsi="Calibri" w:cs="Times New Roman"/>
                <w:sz w:val="22"/>
                <w:szCs w:val="20"/>
              </w:rPr>
              <w:t>Bis(2-ethylhexyl) phthalate (DEHP)</w:t>
            </w:r>
          </w:p>
        </w:tc>
        <w:tc>
          <w:tcPr>
            <w:tcW w:w="2500" w:type="pct"/>
            <w:tcBorders>
              <w:top w:val="single" w:sz="8" w:space="0" w:color="000000"/>
              <w:left w:val="single" w:sz="8" w:space="0" w:color="000000"/>
              <w:bottom w:val="single" w:sz="8" w:space="0" w:color="000000"/>
              <w:right w:val="single" w:sz="8" w:space="0" w:color="000000"/>
            </w:tcBorders>
          </w:tcPr>
          <w:p w:rsidR="00FA3A24" w:rsidRPr="00267F47" w:rsidRDefault="00FA3A24" w:rsidP="00416ED3">
            <w:pPr>
              <w:spacing w:after="0"/>
              <w:rPr>
                <w:rFonts w:ascii="Calibri" w:eastAsia="Times New Roman" w:hAnsi="Calibri" w:cs="Times New Roman"/>
                <w:sz w:val="22"/>
                <w:szCs w:val="20"/>
              </w:rPr>
            </w:pPr>
            <w:r w:rsidRPr="00267F47">
              <w:rPr>
                <w:rFonts w:ascii="Calibri" w:eastAsia="Times New Roman" w:hAnsi="Calibri" w:cs="Times New Roman"/>
                <w:sz w:val="22"/>
                <w:szCs w:val="20"/>
              </w:rPr>
              <w:t>0,1</w:t>
            </w:r>
          </w:p>
        </w:tc>
      </w:tr>
      <w:tr w:rsidR="00FA3A24" w:rsidRPr="00267F47" w:rsidTr="00416ED3">
        <w:trPr>
          <w:trHeight w:val="157"/>
          <w:jc w:val="center"/>
        </w:trPr>
        <w:tc>
          <w:tcPr>
            <w:tcW w:w="2500" w:type="pct"/>
            <w:tcBorders>
              <w:top w:val="single" w:sz="8" w:space="0" w:color="000000"/>
              <w:left w:val="single" w:sz="8" w:space="0" w:color="000000"/>
              <w:bottom w:val="single" w:sz="8" w:space="0" w:color="000000"/>
              <w:right w:val="single" w:sz="8" w:space="0" w:color="000000"/>
            </w:tcBorders>
          </w:tcPr>
          <w:p w:rsidR="00FA3A24" w:rsidRPr="00267F47" w:rsidRDefault="00FA3A24" w:rsidP="00416ED3">
            <w:pPr>
              <w:spacing w:after="0"/>
              <w:rPr>
                <w:rFonts w:ascii="Calibri" w:eastAsia="Times New Roman" w:hAnsi="Calibri" w:cs="Times New Roman"/>
                <w:sz w:val="22"/>
                <w:szCs w:val="20"/>
              </w:rPr>
            </w:pPr>
            <w:r w:rsidRPr="00267F47">
              <w:rPr>
                <w:rFonts w:ascii="Calibri" w:eastAsia="Times New Roman" w:hAnsi="Calibri" w:cs="Times New Roman"/>
                <w:sz w:val="22"/>
                <w:szCs w:val="20"/>
              </w:rPr>
              <w:t>Butyl benzyl phthalate (BBP)</w:t>
            </w:r>
          </w:p>
        </w:tc>
        <w:tc>
          <w:tcPr>
            <w:tcW w:w="2500" w:type="pct"/>
            <w:tcBorders>
              <w:top w:val="single" w:sz="8" w:space="0" w:color="000000"/>
              <w:left w:val="single" w:sz="8" w:space="0" w:color="000000"/>
              <w:bottom w:val="single" w:sz="8" w:space="0" w:color="000000"/>
              <w:right w:val="single" w:sz="8" w:space="0" w:color="000000"/>
            </w:tcBorders>
          </w:tcPr>
          <w:p w:rsidR="00FA3A24" w:rsidRPr="00267F47" w:rsidRDefault="00FA3A24" w:rsidP="00416ED3">
            <w:pPr>
              <w:spacing w:after="0"/>
              <w:rPr>
                <w:rFonts w:ascii="Calibri" w:eastAsia="Times New Roman" w:hAnsi="Calibri" w:cs="Times New Roman"/>
                <w:sz w:val="22"/>
                <w:szCs w:val="20"/>
              </w:rPr>
            </w:pPr>
            <w:r w:rsidRPr="00267F47">
              <w:rPr>
                <w:rFonts w:ascii="Calibri" w:eastAsia="Times New Roman" w:hAnsi="Calibri" w:cs="Times New Roman"/>
                <w:sz w:val="22"/>
                <w:szCs w:val="20"/>
              </w:rPr>
              <w:t>0,1</w:t>
            </w:r>
          </w:p>
        </w:tc>
      </w:tr>
      <w:tr w:rsidR="00FA3A24" w:rsidRPr="00267F47" w:rsidTr="00416ED3">
        <w:trPr>
          <w:trHeight w:val="157"/>
          <w:jc w:val="center"/>
        </w:trPr>
        <w:tc>
          <w:tcPr>
            <w:tcW w:w="2500" w:type="pct"/>
            <w:tcBorders>
              <w:top w:val="single" w:sz="8" w:space="0" w:color="000000"/>
              <w:left w:val="single" w:sz="8" w:space="0" w:color="000000"/>
              <w:bottom w:val="single" w:sz="8" w:space="0" w:color="000000"/>
              <w:right w:val="single" w:sz="8" w:space="0" w:color="000000"/>
            </w:tcBorders>
          </w:tcPr>
          <w:p w:rsidR="00FA3A24" w:rsidRPr="00267F47" w:rsidRDefault="00FA3A24" w:rsidP="00416ED3">
            <w:pPr>
              <w:spacing w:after="0"/>
              <w:rPr>
                <w:rFonts w:ascii="Calibri" w:eastAsia="Times New Roman" w:hAnsi="Calibri" w:cs="Times New Roman"/>
                <w:sz w:val="22"/>
                <w:szCs w:val="20"/>
              </w:rPr>
            </w:pPr>
            <w:r w:rsidRPr="00267F47">
              <w:rPr>
                <w:rFonts w:ascii="Calibri" w:eastAsia="Times New Roman" w:hAnsi="Calibri" w:cs="Times New Roman"/>
                <w:sz w:val="22"/>
                <w:szCs w:val="20"/>
              </w:rPr>
              <w:t>Dibutyl phthalate (DBP)</w:t>
            </w:r>
          </w:p>
        </w:tc>
        <w:tc>
          <w:tcPr>
            <w:tcW w:w="2500" w:type="pct"/>
            <w:tcBorders>
              <w:top w:val="single" w:sz="8" w:space="0" w:color="000000"/>
              <w:left w:val="single" w:sz="8" w:space="0" w:color="000000"/>
              <w:bottom w:val="single" w:sz="8" w:space="0" w:color="000000"/>
              <w:right w:val="single" w:sz="8" w:space="0" w:color="000000"/>
            </w:tcBorders>
          </w:tcPr>
          <w:p w:rsidR="00FA3A24" w:rsidRPr="00267F47" w:rsidRDefault="00FA3A24" w:rsidP="00416ED3">
            <w:pPr>
              <w:spacing w:after="0"/>
              <w:rPr>
                <w:rFonts w:ascii="Calibri" w:eastAsia="Times New Roman" w:hAnsi="Calibri" w:cs="Times New Roman"/>
                <w:sz w:val="22"/>
                <w:szCs w:val="20"/>
              </w:rPr>
            </w:pPr>
            <w:r w:rsidRPr="00267F47">
              <w:rPr>
                <w:rFonts w:ascii="Calibri" w:eastAsia="Times New Roman" w:hAnsi="Calibri" w:cs="Times New Roman"/>
                <w:sz w:val="22"/>
                <w:szCs w:val="20"/>
              </w:rPr>
              <w:t>0,1</w:t>
            </w:r>
          </w:p>
        </w:tc>
      </w:tr>
      <w:tr w:rsidR="00FA3A24" w:rsidRPr="00267F47" w:rsidTr="00416ED3">
        <w:trPr>
          <w:trHeight w:val="157"/>
          <w:jc w:val="center"/>
        </w:trPr>
        <w:tc>
          <w:tcPr>
            <w:tcW w:w="2500" w:type="pct"/>
            <w:tcBorders>
              <w:top w:val="single" w:sz="8" w:space="0" w:color="000000"/>
              <w:left w:val="single" w:sz="8" w:space="0" w:color="000000"/>
              <w:bottom w:val="single" w:sz="8" w:space="0" w:color="000000"/>
              <w:right w:val="single" w:sz="8" w:space="0" w:color="000000"/>
            </w:tcBorders>
          </w:tcPr>
          <w:p w:rsidR="00FA3A24" w:rsidRPr="00267F47" w:rsidRDefault="00FA3A24" w:rsidP="00416ED3">
            <w:pPr>
              <w:spacing w:after="0"/>
              <w:rPr>
                <w:rFonts w:ascii="Calibri" w:eastAsia="Times New Roman" w:hAnsi="Calibri" w:cs="Times New Roman"/>
                <w:sz w:val="22"/>
                <w:szCs w:val="20"/>
              </w:rPr>
            </w:pPr>
            <w:r w:rsidRPr="00267F47">
              <w:rPr>
                <w:rFonts w:ascii="Calibri" w:eastAsia="Times New Roman" w:hAnsi="Calibri" w:cs="Times New Roman"/>
                <w:sz w:val="22"/>
                <w:szCs w:val="20"/>
              </w:rPr>
              <w:t>Diisobutyl phthalate (DIBP)</w:t>
            </w:r>
          </w:p>
        </w:tc>
        <w:tc>
          <w:tcPr>
            <w:tcW w:w="2500" w:type="pct"/>
            <w:tcBorders>
              <w:top w:val="single" w:sz="8" w:space="0" w:color="000000"/>
              <w:left w:val="single" w:sz="8" w:space="0" w:color="000000"/>
              <w:bottom w:val="single" w:sz="8" w:space="0" w:color="000000"/>
              <w:right w:val="single" w:sz="8" w:space="0" w:color="000000"/>
            </w:tcBorders>
          </w:tcPr>
          <w:p w:rsidR="00FA3A24" w:rsidRPr="00267F47" w:rsidRDefault="00FA3A24" w:rsidP="00416ED3">
            <w:pPr>
              <w:spacing w:after="0"/>
              <w:rPr>
                <w:rFonts w:ascii="Calibri" w:eastAsia="Times New Roman" w:hAnsi="Calibri" w:cs="Times New Roman"/>
                <w:sz w:val="22"/>
                <w:szCs w:val="20"/>
              </w:rPr>
            </w:pPr>
            <w:r w:rsidRPr="00267F47">
              <w:rPr>
                <w:rFonts w:ascii="Calibri" w:eastAsia="Times New Roman" w:hAnsi="Calibri" w:cs="Times New Roman"/>
                <w:sz w:val="22"/>
                <w:szCs w:val="20"/>
              </w:rPr>
              <w:t>0,1</w:t>
            </w:r>
          </w:p>
        </w:tc>
      </w:tr>
    </w:tbl>
    <w:p w:rsidR="00FA3A24" w:rsidRPr="00344358" w:rsidRDefault="00FA3A24" w:rsidP="00AC3380">
      <w:pPr>
        <w:tabs>
          <w:tab w:val="left" w:pos="3333"/>
        </w:tabs>
        <w:spacing w:after="0"/>
        <w:rPr>
          <w:rFonts w:ascii="Helvetica" w:hAnsi="Helvetica" w:cs="Helvetica"/>
          <w:sz w:val="18"/>
          <w:szCs w:val="18"/>
        </w:rPr>
      </w:pPr>
    </w:p>
    <w:sectPr w:rsidR="00FA3A24" w:rsidRPr="00344358" w:rsidSect="00344358">
      <w:headerReference w:type="default" r:id="rId9"/>
      <w:footerReference w:type="default" r:id="rId10"/>
      <w:pgSz w:w="11900" w:h="16840"/>
      <w:pgMar w:top="426" w:right="1134" w:bottom="851" w:left="1134" w:header="567" w:footer="49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F06" w:rsidRDefault="00D64F06" w:rsidP="00E0567C">
      <w:pPr>
        <w:spacing w:after="0"/>
      </w:pPr>
      <w:r>
        <w:separator/>
      </w:r>
    </w:p>
  </w:endnote>
  <w:endnote w:type="continuationSeparator" w:id="0">
    <w:p w:rsidR="00D64F06" w:rsidRDefault="00D64F06" w:rsidP="00E056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80" w:rsidRPr="00AC3380" w:rsidRDefault="00FD1C0C" w:rsidP="00AC3380">
    <w:pPr>
      <w:pStyle w:val="Pidipagina"/>
      <w:jc w:val="right"/>
      <w:rPr>
        <w:rFonts w:ascii="Arial" w:hAnsi="Arial" w:cs="Arial"/>
        <w:sz w:val="16"/>
        <w:szCs w:val="16"/>
      </w:rPr>
    </w:pPr>
    <w:r>
      <w:rPr>
        <w:rFonts w:ascii="Arial" w:hAnsi="Arial"/>
        <w:noProof/>
        <w:sz w:val="16"/>
        <w:szCs w:val="16"/>
        <w:lang w:val="it-IT" w:eastAsia="it-IT"/>
      </w:rPr>
      <w:drawing>
        <wp:anchor distT="0" distB="0" distL="114300" distR="114300" simplePos="0" relativeHeight="251658752" behindDoc="1" locked="0" layoutInCell="1" allowOverlap="1">
          <wp:simplePos x="0" y="0"/>
          <wp:positionH relativeFrom="column">
            <wp:posOffset>-215265</wp:posOffset>
          </wp:positionH>
          <wp:positionV relativeFrom="paragraph">
            <wp:posOffset>-662305</wp:posOffset>
          </wp:positionV>
          <wp:extent cx="1495425" cy="552450"/>
          <wp:effectExtent l="19050" t="0" r="9525" b="0"/>
          <wp:wrapTight wrapText="bothSides">
            <wp:wrapPolygon edited="0">
              <wp:start x="-275" y="0"/>
              <wp:lineTo x="-275" y="20855"/>
              <wp:lineTo x="21738" y="20855"/>
              <wp:lineTo x="21738" y="0"/>
              <wp:lineTo x="-275" y="0"/>
            </wp:wrapPolygon>
          </wp:wrapTight>
          <wp:docPr id="12" name="Immagine 0" descr="9108635178_5459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8635178_545962.png"/>
                  <pic:cNvPicPr/>
                </pic:nvPicPr>
                <pic:blipFill>
                  <a:blip r:embed="rId1"/>
                  <a:stretch>
                    <a:fillRect/>
                  </a:stretch>
                </pic:blipFill>
                <pic:spPr>
                  <a:xfrm>
                    <a:off x="0" y="0"/>
                    <a:ext cx="1495425" cy="552450"/>
                  </a:xfrm>
                  <a:prstGeom prst="rect">
                    <a:avLst/>
                  </a:prstGeom>
                </pic:spPr>
              </pic:pic>
            </a:graphicData>
          </a:graphic>
        </wp:anchor>
      </w:drawing>
    </w:r>
    <w:r>
      <w:rPr>
        <w:rFonts w:ascii="Arial" w:hAnsi="Arial"/>
        <w:sz w:val="16"/>
        <w:szCs w:val="16"/>
      </w:rPr>
      <w:t>Mod.04_FT_01_Dichiarazione di conformità rev0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F06" w:rsidRDefault="00D64F06" w:rsidP="00E0567C">
      <w:pPr>
        <w:spacing w:after="0"/>
      </w:pPr>
      <w:r>
        <w:separator/>
      </w:r>
    </w:p>
  </w:footnote>
  <w:footnote w:type="continuationSeparator" w:id="0">
    <w:p w:rsidR="00D64F06" w:rsidRDefault="00D64F06" w:rsidP="00E056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C95" w:rsidRPr="000D3268" w:rsidRDefault="00344358" w:rsidP="00344358">
    <w:pPr>
      <w:pStyle w:val="Intestazione"/>
      <w:jc w:val="right"/>
    </w:pPr>
    <w:r>
      <w:rPr>
        <w:noProof/>
        <w:lang w:val="it-IT" w:eastAsia="it-IT"/>
      </w:rPr>
      <w:drawing>
        <wp:inline distT="0" distB="0" distL="0" distR="0">
          <wp:extent cx="2228850" cy="648052"/>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CARJET_COLORE registrato.png"/>
                  <pic:cNvPicPr/>
                </pic:nvPicPr>
                <pic:blipFill>
                  <a:blip r:embed="rId1">
                    <a:extLst>
                      <a:ext uri="{28A0092B-C50C-407E-A947-70E740481C1C}">
                        <a14:useLocalDpi xmlns:a14="http://schemas.microsoft.com/office/drawing/2010/main" val="0"/>
                      </a:ext>
                    </a:extLst>
                  </a:blip>
                  <a:stretch>
                    <a:fillRect/>
                  </a:stretch>
                </pic:blipFill>
                <pic:spPr>
                  <a:xfrm>
                    <a:off x="0" y="0"/>
                    <a:ext cx="2246541" cy="6531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815"/>
    <w:multiLevelType w:val="hybridMultilevel"/>
    <w:tmpl w:val="75A4A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766EE"/>
    <w:multiLevelType w:val="hybridMultilevel"/>
    <w:tmpl w:val="1CC8A492"/>
    <w:lvl w:ilvl="0" w:tplc="9CD2A27C">
      <w:start w:val="1"/>
      <w:numFmt w:val="decimal"/>
      <w:lvlText w:val="%1."/>
      <w:lvlJc w:val="left"/>
      <w:pPr>
        <w:ind w:left="360" w:hanging="360"/>
      </w:pPr>
      <w:rPr>
        <w:sz w:val="18"/>
        <w:szCs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F0E4088"/>
    <w:multiLevelType w:val="hybridMultilevel"/>
    <w:tmpl w:val="B5169ECA"/>
    <w:lvl w:ilvl="0" w:tplc="313C2268">
      <w:start w:val="1"/>
      <w:numFmt w:val="bullet"/>
      <w:lvlText w:val=""/>
      <w:lvlJc w:val="left"/>
      <w:pPr>
        <w:ind w:left="-640" w:hanging="360"/>
      </w:pPr>
      <w:rPr>
        <w:rFonts w:ascii="Symbol" w:hAnsi="Symbol" w:hint="default"/>
        <w:sz w:val="16"/>
        <w:szCs w:val="16"/>
      </w:rPr>
    </w:lvl>
    <w:lvl w:ilvl="1" w:tplc="04100003" w:tentative="1">
      <w:start w:val="1"/>
      <w:numFmt w:val="bullet"/>
      <w:lvlText w:val="o"/>
      <w:lvlJc w:val="left"/>
      <w:pPr>
        <w:ind w:left="80" w:hanging="360"/>
      </w:pPr>
      <w:rPr>
        <w:rFonts w:ascii="Courier New" w:hAnsi="Courier New" w:cs="Courier New" w:hint="default"/>
      </w:rPr>
    </w:lvl>
    <w:lvl w:ilvl="2" w:tplc="04100005" w:tentative="1">
      <w:start w:val="1"/>
      <w:numFmt w:val="bullet"/>
      <w:lvlText w:val=""/>
      <w:lvlJc w:val="left"/>
      <w:pPr>
        <w:ind w:left="800" w:hanging="360"/>
      </w:pPr>
      <w:rPr>
        <w:rFonts w:ascii="Wingdings" w:hAnsi="Wingdings" w:hint="default"/>
      </w:rPr>
    </w:lvl>
    <w:lvl w:ilvl="3" w:tplc="04100001" w:tentative="1">
      <w:start w:val="1"/>
      <w:numFmt w:val="bullet"/>
      <w:lvlText w:val=""/>
      <w:lvlJc w:val="left"/>
      <w:pPr>
        <w:ind w:left="1520" w:hanging="360"/>
      </w:pPr>
      <w:rPr>
        <w:rFonts w:ascii="Symbol" w:hAnsi="Symbol" w:hint="default"/>
      </w:rPr>
    </w:lvl>
    <w:lvl w:ilvl="4" w:tplc="04100003" w:tentative="1">
      <w:start w:val="1"/>
      <w:numFmt w:val="bullet"/>
      <w:lvlText w:val="o"/>
      <w:lvlJc w:val="left"/>
      <w:pPr>
        <w:ind w:left="2240" w:hanging="360"/>
      </w:pPr>
      <w:rPr>
        <w:rFonts w:ascii="Courier New" w:hAnsi="Courier New" w:cs="Courier New" w:hint="default"/>
      </w:rPr>
    </w:lvl>
    <w:lvl w:ilvl="5" w:tplc="04100005" w:tentative="1">
      <w:start w:val="1"/>
      <w:numFmt w:val="bullet"/>
      <w:lvlText w:val=""/>
      <w:lvlJc w:val="left"/>
      <w:pPr>
        <w:ind w:left="2960" w:hanging="360"/>
      </w:pPr>
      <w:rPr>
        <w:rFonts w:ascii="Wingdings" w:hAnsi="Wingdings" w:hint="default"/>
      </w:rPr>
    </w:lvl>
    <w:lvl w:ilvl="6" w:tplc="04100001" w:tentative="1">
      <w:start w:val="1"/>
      <w:numFmt w:val="bullet"/>
      <w:lvlText w:val=""/>
      <w:lvlJc w:val="left"/>
      <w:pPr>
        <w:ind w:left="3680" w:hanging="360"/>
      </w:pPr>
      <w:rPr>
        <w:rFonts w:ascii="Symbol" w:hAnsi="Symbol" w:hint="default"/>
      </w:rPr>
    </w:lvl>
    <w:lvl w:ilvl="7" w:tplc="04100003" w:tentative="1">
      <w:start w:val="1"/>
      <w:numFmt w:val="bullet"/>
      <w:lvlText w:val="o"/>
      <w:lvlJc w:val="left"/>
      <w:pPr>
        <w:ind w:left="4400" w:hanging="360"/>
      </w:pPr>
      <w:rPr>
        <w:rFonts w:ascii="Courier New" w:hAnsi="Courier New" w:cs="Courier New" w:hint="default"/>
      </w:rPr>
    </w:lvl>
    <w:lvl w:ilvl="8" w:tplc="04100005" w:tentative="1">
      <w:start w:val="1"/>
      <w:numFmt w:val="bullet"/>
      <w:lvlText w:val=""/>
      <w:lvlJc w:val="left"/>
      <w:pPr>
        <w:ind w:left="5120" w:hanging="360"/>
      </w:pPr>
      <w:rPr>
        <w:rFonts w:ascii="Wingdings" w:hAnsi="Wingdings" w:hint="default"/>
      </w:rPr>
    </w:lvl>
  </w:abstractNum>
  <w:abstractNum w:abstractNumId="3" w15:restartNumberingAfterBreak="0">
    <w:nsid w:val="0F170AA1"/>
    <w:multiLevelType w:val="hybridMultilevel"/>
    <w:tmpl w:val="FEE08C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17085E"/>
    <w:multiLevelType w:val="hybridMultilevel"/>
    <w:tmpl w:val="DD0CC0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14D72BF"/>
    <w:multiLevelType w:val="hybridMultilevel"/>
    <w:tmpl w:val="AB72A2B8"/>
    <w:lvl w:ilvl="0" w:tplc="313C2268">
      <w:start w:val="1"/>
      <w:numFmt w:val="bullet"/>
      <w:lvlText w:val=""/>
      <w:lvlJc w:val="left"/>
      <w:pPr>
        <w:ind w:left="360" w:hanging="360"/>
      </w:pPr>
      <w:rPr>
        <w:rFonts w:ascii="Symbol" w:hAnsi="Symbol" w:hint="default"/>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4AE1146"/>
    <w:multiLevelType w:val="hybridMultilevel"/>
    <w:tmpl w:val="ADD0B96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4E2F69"/>
    <w:multiLevelType w:val="hybridMultilevel"/>
    <w:tmpl w:val="05B2FC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3C6EFC"/>
    <w:multiLevelType w:val="hybridMultilevel"/>
    <w:tmpl w:val="9D509A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234687E"/>
    <w:multiLevelType w:val="hybridMultilevel"/>
    <w:tmpl w:val="EF8ED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C867FA"/>
    <w:multiLevelType w:val="hybridMultilevel"/>
    <w:tmpl w:val="81005168"/>
    <w:lvl w:ilvl="0" w:tplc="61F0C08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5B63706"/>
    <w:multiLevelType w:val="hybridMultilevel"/>
    <w:tmpl w:val="47ACED52"/>
    <w:lvl w:ilvl="0" w:tplc="313C2268">
      <w:start w:val="1"/>
      <w:numFmt w:val="bullet"/>
      <w:lvlText w:val=""/>
      <w:lvlJc w:val="left"/>
      <w:pPr>
        <w:ind w:left="360" w:hanging="360"/>
      </w:pPr>
      <w:rPr>
        <w:rFonts w:ascii="Symbol" w:hAnsi="Symbol" w:hint="default"/>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D2207CA"/>
    <w:multiLevelType w:val="hybridMultilevel"/>
    <w:tmpl w:val="2DC2CB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AC7E17"/>
    <w:multiLevelType w:val="hybridMultilevel"/>
    <w:tmpl w:val="0CC43810"/>
    <w:lvl w:ilvl="0" w:tplc="BB68F35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45FD49D5"/>
    <w:multiLevelType w:val="hybridMultilevel"/>
    <w:tmpl w:val="89167166"/>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15" w15:restartNumberingAfterBreak="0">
    <w:nsid w:val="59B714E0"/>
    <w:multiLevelType w:val="hybridMultilevel"/>
    <w:tmpl w:val="94087CC0"/>
    <w:lvl w:ilvl="0" w:tplc="313C2268">
      <w:start w:val="1"/>
      <w:numFmt w:val="bullet"/>
      <w:lvlText w:val=""/>
      <w:lvlJc w:val="left"/>
      <w:pPr>
        <w:ind w:left="360" w:hanging="360"/>
      </w:pPr>
      <w:rPr>
        <w:rFonts w:ascii="Symbol" w:hAnsi="Symbol" w:hint="default"/>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ABF1F9A"/>
    <w:multiLevelType w:val="hybridMultilevel"/>
    <w:tmpl w:val="F7CCDF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D733F85"/>
    <w:multiLevelType w:val="hybridMultilevel"/>
    <w:tmpl w:val="49103AB0"/>
    <w:lvl w:ilvl="0" w:tplc="06AAF64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D8D32AE"/>
    <w:multiLevelType w:val="hybridMultilevel"/>
    <w:tmpl w:val="E6722D4C"/>
    <w:lvl w:ilvl="0" w:tplc="3FDC31F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DA969ED"/>
    <w:multiLevelType w:val="hybridMultilevel"/>
    <w:tmpl w:val="F536B838"/>
    <w:lvl w:ilvl="0" w:tplc="61F0C08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3ED15EB"/>
    <w:multiLevelType w:val="hybridMultilevel"/>
    <w:tmpl w:val="0E068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80415A1"/>
    <w:multiLevelType w:val="hybridMultilevel"/>
    <w:tmpl w:val="12BAC346"/>
    <w:lvl w:ilvl="0" w:tplc="313C2268">
      <w:start w:val="1"/>
      <w:numFmt w:val="bullet"/>
      <w:lvlText w:val=""/>
      <w:lvlJc w:val="left"/>
      <w:pPr>
        <w:ind w:left="360" w:hanging="360"/>
      </w:pPr>
      <w:rPr>
        <w:rFonts w:ascii="Symbol" w:hAnsi="Symbol" w:hint="default"/>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DC83CB0"/>
    <w:multiLevelType w:val="hybridMultilevel"/>
    <w:tmpl w:val="FB021818"/>
    <w:lvl w:ilvl="0" w:tplc="313C2268">
      <w:start w:val="1"/>
      <w:numFmt w:val="bullet"/>
      <w:lvlText w:val=""/>
      <w:lvlJc w:val="left"/>
      <w:pPr>
        <w:ind w:left="360" w:hanging="360"/>
      </w:pPr>
      <w:rPr>
        <w:rFonts w:ascii="Symbol" w:hAnsi="Symbol" w:hint="default"/>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12"/>
  </w:num>
  <w:num w:numId="4">
    <w:abstractNumId w:val="14"/>
  </w:num>
  <w:num w:numId="5">
    <w:abstractNumId w:val="0"/>
  </w:num>
  <w:num w:numId="6">
    <w:abstractNumId w:val="20"/>
  </w:num>
  <w:num w:numId="7">
    <w:abstractNumId w:val="9"/>
  </w:num>
  <w:num w:numId="8">
    <w:abstractNumId w:val="3"/>
  </w:num>
  <w:num w:numId="9">
    <w:abstractNumId w:val="7"/>
  </w:num>
  <w:num w:numId="10">
    <w:abstractNumId w:val="16"/>
  </w:num>
  <w:num w:numId="11">
    <w:abstractNumId w:val="10"/>
  </w:num>
  <w:num w:numId="12">
    <w:abstractNumId w:val="13"/>
  </w:num>
  <w:num w:numId="13">
    <w:abstractNumId w:val="17"/>
  </w:num>
  <w:num w:numId="14">
    <w:abstractNumId w:val="19"/>
  </w:num>
  <w:num w:numId="15">
    <w:abstractNumId w:val="8"/>
  </w:num>
  <w:num w:numId="16">
    <w:abstractNumId w:val="2"/>
  </w:num>
  <w:num w:numId="17">
    <w:abstractNumId w:val="5"/>
  </w:num>
  <w:num w:numId="18">
    <w:abstractNumId w:val="22"/>
  </w:num>
  <w:num w:numId="19">
    <w:abstractNumId w:val="11"/>
  </w:num>
  <w:num w:numId="20">
    <w:abstractNumId w:val="21"/>
  </w:num>
  <w:num w:numId="21">
    <w:abstractNumId w:val="15"/>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296808"/>
    <w:rsid w:val="00002C95"/>
    <w:rsid w:val="00026151"/>
    <w:rsid w:val="000477C2"/>
    <w:rsid w:val="00050D36"/>
    <w:rsid w:val="00051DCA"/>
    <w:rsid w:val="000546D4"/>
    <w:rsid w:val="00083C8A"/>
    <w:rsid w:val="00087C83"/>
    <w:rsid w:val="00090879"/>
    <w:rsid w:val="000B6D9E"/>
    <w:rsid w:val="000D093B"/>
    <w:rsid w:val="000D3268"/>
    <w:rsid w:val="000D6321"/>
    <w:rsid w:val="000F5076"/>
    <w:rsid w:val="0012600A"/>
    <w:rsid w:val="0013166A"/>
    <w:rsid w:val="00134472"/>
    <w:rsid w:val="001354D7"/>
    <w:rsid w:val="0013710D"/>
    <w:rsid w:val="0013731F"/>
    <w:rsid w:val="00140EDC"/>
    <w:rsid w:val="00142D84"/>
    <w:rsid w:val="001824DC"/>
    <w:rsid w:val="001829F4"/>
    <w:rsid w:val="0019452D"/>
    <w:rsid w:val="001B15F4"/>
    <w:rsid w:val="001B47AE"/>
    <w:rsid w:val="001C65E2"/>
    <w:rsid w:val="00221F0B"/>
    <w:rsid w:val="00296808"/>
    <w:rsid w:val="00297C83"/>
    <w:rsid w:val="002B4FFC"/>
    <w:rsid w:val="002C5E6C"/>
    <w:rsid w:val="002D0C70"/>
    <w:rsid w:val="003342E6"/>
    <w:rsid w:val="00340E23"/>
    <w:rsid w:val="00344358"/>
    <w:rsid w:val="003468B7"/>
    <w:rsid w:val="00352A7E"/>
    <w:rsid w:val="00352D96"/>
    <w:rsid w:val="00362340"/>
    <w:rsid w:val="003A3F97"/>
    <w:rsid w:val="003A47FF"/>
    <w:rsid w:val="003A69D2"/>
    <w:rsid w:val="003A7624"/>
    <w:rsid w:val="003C0C30"/>
    <w:rsid w:val="003C1200"/>
    <w:rsid w:val="003C20CB"/>
    <w:rsid w:val="003D06D0"/>
    <w:rsid w:val="003D2E40"/>
    <w:rsid w:val="003D5A79"/>
    <w:rsid w:val="003D7A25"/>
    <w:rsid w:val="003D7B89"/>
    <w:rsid w:val="003E6297"/>
    <w:rsid w:val="004279B6"/>
    <w:rsid w:val="00470CA8"/>
    <w:rsid w:val="00484AB7"/>
    <w:rsid w:val="00490321"/>
    <w:rsid w:val="004B5E3B"/>
    <w:rsid w:val="004B77BA"/>
    <w:rsid w:val="004C7C27"/>
    <w:rsid w:val="004D6EA3"/>
    <w:rsid w:val="004E021A"/>
    <w:rsid w:val="004E71B8"/>
    <w:rsid w:val="004F08BB"/>
    <w:rsid w:val="004F714A"/>
    <w:rsid w:val="00502A8F"/>
    <w:rsid w:val="00506070"/>
    <w:rsid w:val="00510AC2"/>
    <w:rsid w:val="005271F3"/>
    <w:rsid w:val="005341F7"/>
    <w:rsid w:val="005454AE"/>
    <w:rsid w:val="0055759B"/>
    <w:rsid w:val="00564F0D"/>
    <w:rsid w:val="00571CDC"/>
    <w:rsid w:val="005E66A9"/>
    <w:rsid w:val="005F3759"/>
    <w:rsid w:val="005F59DF"/>
    <w:rsid w:val="005F75AA"/>
    <w:rsid w:val="00617689"/>
    <w:rsid w:val="00634E28"/>
    <w:rsid w:val="006356EC"/>
    <w:rsid w:val="00636896"/>
    <w:rsid w:val="0063739B"/>
    <w:rsid w:val="00646362"/>
    <w:rsid w:val="0066664D"/>
    <w:rsid w:val="00672FF0"/>
    <w:rsid w:val="00681DF7"/>
    <w:rsid w:val="006919AA"/>
    <w:rsid w:val="006D2605"/>
    <w:rsid w:val="006D5B58"/>
    <w:rsid w:val="006D675C"/>
    <w:rsid w:val="006D7E78"/>
    <w:rsid w:val="006F526C"/>
    <w:rsid w:val="007169C6"/>
    <w:rsid w:val="007217DF"/>
    <w:rsid w:val="00731A70"/>
    <w:rsid w:val="00743B4F"/>
    <w:rsid w:val="00760DE4"/>
    <w:rsid w:val="007613DC"/>
    <w:rsid w:val="0076580D"/>
    <w:rsid w:val="0077335E"/>
    <w:rsid w:val="00783D80"/>
    <w:rsid w:val="00791A64"/>
    <w:rsid w:val="00793A62"/>
    <w:rsid w:val="00794761"/>
    <w:rsid w:val="007A1E1D"/>
    <w:rsid w:val="007A61A7"/>
    <w:rsid w:val="007B0496"/>
    <w:rsid w:val="007D639E"/>
    <w:rsid w:val="007F70C5"/>
    <w:rsid w:val="008010E1"/>
    <w:rsid w:val="00806661"/>
    <w:rsid w:val="0082741F"/>
    <w:rsid w:val="0083447E"/>
    <w:rsid w:val="0085631F"/>
    <w:rsid w:val="00857F75"/>
    <w:rsid w:val="008639DC"/>
    <w:rsid w:val="00866776"/>
    <w:rsid w:val="00876E6A"/>
    <w:rsid w:val="008B3026"/>
    <w:rsid w:val="008B4104"/>
    <w:rsid w:val="008B4D90"/>
    <w:rsid w:val="008C3B18"/>
    <w:rsid w:val="008E3974"/>
    <w:rsid w:val="008F10DE"/>
    <w:rsid w:val="0091155A"/>
    <w:rsid w:val="0093257C"/>
    <w:rsid w:val="00935108"/>
    <w:rsid w:val="009471DB"/>
    <w:rsid w:val="00956140"/>
    <w:rsid w:val="009574B6"/>
    <w:rsid w:val="00966BD9"/>
    <w:rsid w:val="00992E88"/>
    <w:rsid w:val="00995980"/>
    <w:rsid w:val="009C19FB"/>
    <w:rsid w:val="009D7F0C"/>
    <w:rsid w:val="009E26FE"/>
    <w:rsid w:val="009E7BA4"/>
    <w:rsid w:val="009E7CEA"/>
    <w:rsid w:val="00A106F8"/>
    <w:rsid w:val="00A21E0D"/>
    <w:rsid w:val="00A2356C"/>
    <w:rsid w:val="00A3404A"/>
    <w:rsid w:val="00A360E7"/>
    <w:rsid w:val="00A549D6"/>
    <w:rsid w:val="00A7150F"/>
    <w:rsid w:val="00A83B1C"/>
    <w:rsid w:val="00A86EB7"/>
    <w:rsid w:val="00A94668"/>
    <w:rsid w:val="00A95AA2"/>
    <w:rsid w:val="00AA2BC1"/>
    <w:rsid w:val="00AA388B"/>
    <w:rsid w:val="00AC2B34"/>
    <w:rsid w:val="00AC3380"/>
    <w:rsid w:val="00AD54A6"/>
    <w:rsid w:val="00AE2FF5"/>
    <w:rsid w:val="00AF58C0"/>
    <w:rsid w:val="00B00866"/>
    <w:rsid w:val="00B05C80"/>
    <w:rsid w:val="00B13FF4"/>
    <w:rsid w:val="00B14523"/>
    <w:rsid w:val="00B17C78"/>
    <w:rsid w:val="00B309FD"/>
    <w:rsid w:val="00B336AA"/>
    <w:rsid w:val="00B43281"/>
    <w:rsid w:val="00B43B49"/>
    <w:rsid w:val="00B622C6"/>
    <w:rsid w:val="00B656C5"/>
    <w:rsid w:val="00B71FE6"/>
    <w:rsid w:val="00B75DDD"/>
    <w:rsid w:val="00B83659"/>
    <w:rsid w:val="00B95A20"/>
    <w:rsid w:val="00BA70C3"/>
    <w:rsid w:val="00BC04DE"/>
    <w:rsid w:val="00BC4843"/>
    <w:rsid w:val="00BD2420"/>
    <w:rsid w:val="00BE297B"/>
    <w:rsid w:val="00BE71A0"/>
    <w:rsid w:val="00BE7F0A"/>
    <w:rsid w:val="00BF359E"/>
    <w:rsid w:val="00C15684"/>
    <w:rsid w:val="00C171F9"/>
    <w:rsid w:val="00C22B70"/>
    <w:rsid w:val="00C451B8"/>
    <w:rsid w:val="00C46FBC"/>
    <w:rsid w:val="00C5663D"/>
    <w:rsid w:val="00C56C82"/>
    <w:rsid w:val="00C65EED"/>
    <w:rsid w:val="00C7059B"/>
    <w:rsid w:val="00C75091"/>
    <w:rsid w:val="00C81898"/>
    <w:rsid w:val="00C850C4"/>
    <w:rsid w:val="00CA0B88"/>
    <w:rsid w:val="00CA51FE"/>
    <w:rsid w:val="00CA75B2"/>
    <w:rsid w:val="00CB7DF1"/>
    <w:rsid w:val="00CC491C"/>
    <w:rsid w:val="00CE250E"/>
    <w:rsid w:val="00CE5639"/>
    <w:rsid w:val="00CF2EEF"/>
    <w:rsid w:val="00D034A8"/>
    <w:rsid w:val="00D10425"/>
    <w:rsid w:val="00D22DCF"/>
    <w:rsid w:val="00D23442"/>
    <w:rsid w:val="00D30DC1"/>
    <w:rsid w:val="00D34441"/>
    <w:rsid w:val="00D46794"/>
    <w:rsid w:val="00D64F06"/>
    <w:rsid w:val="00D74C1C"/>
    <w:rsid w:val="00D81927"/>
    <w:rsid w:val="00D82A03"/>
    <w:rsid w:val="00D90362"/>
    <w:rsid w:val="00D96552"/>
    <w:rsid w:val="00DA5E56"/>
    <w:rsid w:val="00DB4451"/>
    <w:rsid w:val="00E0567C"/>
    <w:rsid w:val="00E130FA"/>
    <w:rsid w:val="00E248D4"/>
    <w:rsid w:val="00E32016"/>
    <w:rsid w:val="00E423BE"/>
    <w:rsid w:val="00E55ED0"/>
    <w:rsid w:val="00E62A5F"/>
    <w:rsid w:val="00E807EF"/>
    <w:rsid w:val="00E81278"/>
    <w:rsid w:val="00E8726C"/>
    <w:rsid w:val="00E96948"/>
    <w:rsid w:val="00EC652A"/>
    <w:rsid w:val="00ED5D7D"/>
    <w:rsid w:val="00EE293C"/>
    <w:rsid w:val="00F40A84"/>
    <w:rsid w:val="00F45392"/>
    <w:rsid w:val="00F50087"/>
    <w:rsid w:val="00F5430F"/>
    <w:rsid w:val="00F56CF0"/>
    <w:rsid w:val="00F6242E"/>
    <w:rsid w:val="00F82420"/>
    <w:rsid w:val="00F8686B"/>
    <w:rsid w:val="00F971AD"/>
    <w:rsid w:val="00FA2B50"/>
    <w:rsid w:val="00FA3A24"/>
    <w:rsid w:val="00FB02C8"/>
    <w:rsid w:val="00FC1A5C"/>
    <w:rsid w:val="00FD1C0C"/>
    <w:rsid w:val="00FE4301"/>
    <w:rsid w:val="00FF13E1"/>
    <w:rsid w:val="00FF272E"/>
  </w:rsids>
  <m:mathPr>
    <m:mathFont m:val="Cambria Math"/>
    <m:brkBin m:val="before"/>
    <m:brkBinSub m:val="--"/>
    <m:smallFrac m:val="0"/>
    <m:dispDef m:val="0"/>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5:docId w15:val="{42AF845E-A9CC-4DBA-8999-BACA5A7D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2612"/>
  </w:style>
  <w:style w:type="paragraph" w:styleId="Titolo1">
    <w:name w:val="heading 1"/>
    <w:basedOn w:val="Normale"/>
    <w:next w:val="Normale"/>
    <w:link w:val="Titolo1Carattere"/>
    <w:uiPriority w:val="9"/>
    <w:qFormat/>
    <w:rsid w:val="00142D8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9680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296808"/>
    <w:rPr>
      <w:sz w:val="24"/>
      <w:szCs w:val="24"/>
    </w:rPr>
  </w:style>
  <w:style w:type="paragraph" w:styleId="Pidipagina">
    <w:name w:val="footer"/>
    <w:basedOn w:val="Normale"/>
    <w:link w:val="PidipaginaCarattere"/>
    <w:uiPriority w:val="99"/>
    <w:unhideWhenUsed/>
    <w:rsid w:val="0029680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296808"/>
    <w:rPr>
      <w:sz w:val="24"/>
      <w:szCs w:val="24"/>
    </w:rPr>
  </w:style>
  <w:style w:type="table" w:styleId="Grigliatabella">
    <w:name w:val="Table Grid"/>
    <w:basedOn w:val="Tabellanormale"/>
    <w:uiPriority w:val="59"/>
    <w:rsid w:val="0029680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1Carattere">
    <w:name w:val="Titolo 1 Carattere"/>
    <w:basedOn w:val="Carpredefinitoparagrafo"/>
    <w:link w:val="Titolo1"/>
    <w:uiPriority w:val="9"/>
    <w:rsid w:val="00142D84"/>
    <w:rPr>
      <w:rFonts w:asciiTheme="majorHAnsi" w:eastAsiaTheme="majorEastAsia" w:hAnsiTheme="majorHAnsi" w:cstheme="majorBidi"/>
      <w:b/>
      <w:bCs/>
      <w:color w:val="345A8A" w:themeColor="accent1" w:themeShade="B5"/>
      <w:sz w:val="32"/>
      <w:szCs w:val="32"/>
    </w:rPr>
  </w:style>
  <w:style w:type="paragraph" w:styleId="Nessunaspaziatura">
    <w:name w:val="No Spacing"/>
    <w:uiPriority w:val="1"/>
    <w:qFormat/>
    <w:rsid w:val="00142D84"/>
    <w:pPr>
      <w:spacing w:after="0"/>
    </w:pPr>
  </w:style>
  <w:style w:type="paragraph" w:styleId="Paragrafoelenco">
    <w:name w:val="List Paragraph"/>
    <w:basedOn w:val="Normale"/>
    <w:rsid w:val="0013166A"/>
    <w:pPr>
      <w:ind w:left="720"/>
      <w:contextualSpacing/>
    </w:pPr>
  </w:style>
  <w:style w:type="paragraph" w:styleId="Testofumetto">
    <w:name w:val="Balloon Text"/>
    <w:basedOn w:val="Normale"/>
    <w:link w:val="TestofumettoCarattere"/>
    <w:rsid w:val="0063739B"/>
    <w:pPr>
      <w:spacing w:after="0"/>
    </w:pPr>
    <w:rPr>
      <w:rFonts w:ascii="Tahoma" w:hAnsi="Tahoma" w:cs="Tahoma"/>
      <w:sz w:val="16"/>
      <w:szCs w:val="16"/>
    </w:rPr>
  </w:style>
  <w:style w:type="character" w:customStyle="1" w:styleId="TestofumettoCarattere">
    <w:name w:val="Testo fumetto Carattere"/>
    <w:basedOn w:val="Carpredefinitoparagrafo"/>
    <w:link w:val="Testofumetto"/>
    <w:rsid w:val="0063739B"/>
    <w:rPr>
      <w:rFonts w:ascii="Tahoma" w:hAnsi="Tahoma" w:cs="Tahoma"/>
      <w:sz w:val="16"/>
      <w:szCs w:val="16"/>
    </w:rPr>
  </w:style>
  <w:style w:type="character" w:styleId="Collegamentoipertestuale">
    <w:name w:val="Hyperlink"/>
    <w:basedOn w:val="Carpredefinitoparagrafo"/>
    <w:rsid w:val="000477C2"/>
    <w:rPr>
      <w:color w:val="0000FF" w:themeColor="hyperlink"/>
      <w:u w:val="single"/>
    </w:rPr>
  </w:style>
  <w:style w:type="character" w:customStyle="1" w:styleId="shorttext">
    <w:name w:val="short_text"/>
    <w:basedOn w:val="Carpredefinitoparagrafo"/>
    <w:rsid w:val="00CA5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21038">
      <w:bodyDiv w:val="1"/>
      <w:marLeft w:val="0"/>
      <w:marRight w:val="0"/>
      <w:marTop w:val="0"/>
      <w:marBottom w:val="0"/>
      <w:divBdr>
        <w:top w:val="none" w:sz="0" w:space="0" w:color="auto"/>
        <w:left w:val="none" w:sz="0" w:space="0" w:color="auto"/>
        <w:bottom w:val="none" w:sz="0" w:space="0" w:color="auto"/>
        <w:right w:val="none" w:sz="0" w:space="0" w:color="auto"/>
      </w:divBdr>
      <w:divsChild>
        <w:div w:id="978649469">
          <w:marLeft w:val="0"/>
          <w:marRight w:val="0"/>
          <w:marTop w:val="0"/>
          <w:marBottom w:val="0"/>
          <w:divBdr>
            <w:top w:val="none" w:sz="0" w:space="0" w:color="auto"/>
            <w:left w:val="none" w:sz="0" w:space="0" w:color="auto"/>
            <w:bottom w:val="none" w:sz="0" w:space="0" w:color="auto"/>
            <w:right w:val="none" w:sz="0" w:space="0" w:color="auto"/>
          </w:divBdr>
          <w:divsChild>
            <w:div w:id="2012290408">
              <w:marLeft w:val="0"/>
              <w:marRight w:val="0"/>
              <w:marTop w:val="0"/>
              <w:marBottom w:val="0"/>
              <w:divBdr>
                <w:top w:val="none" w:sz="0" w:space="0" w:color="auto"/>
                <w:left w:val="none" w:sz="0" w:space="0" w:color="auto"/>
                <w:bottom w:val="none" w:sz="0" w:space="0" w:color="auto"/>
                <w:right w:val="none" w:sz="0" w:space="0" w:color="auto"/>
              </w:divBdr>
              <w:divsChild>
                <w:div w:id="2050182946">
                  <w:marLeft w:val="0"/>
                  <w:marRight w:val="0"/>
                  <w:marTop w:val="0"/>
                  <w:marBottom w:val="0"/>
                  <w:divBdr>
                    <w:top w:val="none" w:sz="0" w:space="0" w:color="auto"/>
                    <w:left w:val="none" w:sz="0" w:space="0" w:color="auto"/>
                    <w:bottom w:val="none" w:sz="0" w:space="0" w:color="auto"/>
                    <w:right w:val="none" w:sz="0" w:space="0" w:color="auto"/>
                  </w:divBdr>
                  <w:divsChild>
                    <w:div w:id="1205368990">
                      <w:marLeft w:val="0"/>
                      <w:marRight w:val="0"/>
                      <w:marTop w:val="0"/>
                      <w:marBottom w:val="0"/>
                      <w:divBdr>
                        <w:top w:val="none" w:sz="0" w:space="0" w:color="auto"/>
                        <w:left w:val="none" w:sz="0" w:space="0" w:color="auto"/>
                        <w:bottom w:val="none" w:sz="0" w:space="0" w:color="auto"/>
                        <w:right w:val="none" w:sz="0" w:space="0" w:color="auto"/>
                      </w:divBdr>
                      <w:divsChild>
                        <w:div w:id="1241792084">
                          <w:marLeft w:val="0"/>
                          <w:marRight w:val="0"/>
                          <w:marTop w:val="0"/>
                          <w:marBottom w:val="0"/>
                          <w:divBdr>
                            <w:top w:val="none" w:sz="0" w:space="0" w:color="auto"/>
                            <w:left w:val="none" w:sz="0" w:space="0" w:color="auto"/>
                            <w:bottom w:val="none" w:sz="0" w:space="0" w:color="auto"/>
                            <w:right w:val="none" w:sz="0" w:space="0" w:color="auto"/>
                          </w:divBdr>
                          <w:divsChild>
                            <w:div w:id="860046860">
                              <w:marLeft w:val="0"/>
                              <w:marRight w:val="0"/>
                              <w:marTop w:val="0"/>
                              <w:marBottom w:val="0"/>
                              <w:divBdr>
                                <w:top w:val="none" w:sz="0" w:space="0" w:color="auto"/>
                                <w:left w:val="none" w:sz="0" w:space="0" w:color="auto"/>
                                <w:bottom w:val="none" w:sz="0" w:space="0" w:color="auto"/>
                                <w:right w:val="none" w:sz="0" w:space="0" w:color="auto"/>
                              </w:divBdr>
                              <w:divsChild>
                                <w:div w:id="1017006437">
                                  <w:marLeft w:val="0"/>
                                  <w:marRight w:val="0"/>
                                  <w:marTop w:val="0"/>
                                  <w:marBottom w:val="0"/>
                                  <w:divBdr>
                                    <w:top w:val="none" w:sz="0" w:space="0" w:color="auto"/>
                                    <w:left w:val="none" w:sz="0" w:space="0" w:color="auto"/>
                                    <w:bottom w:val="none" w:sz="0" w:space="0" w:color="auto"/>
                                    <w:right w:val="none" w:sz="0" w:space="0" w:color="auto"/>
                                  </w:divBdr>
                                  <w:divsChild>
                                    <w:div w:id="1510675469">
                                      <w:marLeft w:val="60"/>
                                      <w:marRight w:val="0"/>
                                      <w:marTop w:val="0"/>
                                      <w:marBottom w:val="0"/>
                                      <w:divBdr>
                                        <w:top w:val="none" w:sz="0" w:space="0" w:color="auto"/>
                                        <w:left w:val="none" w:sz="0" w:space="0" w:color="auto"/>
                                        <w:bottom w:val="none" w:sz="0" w:space="0" w:color="auto"/>
                                        <w:right w:val="none" w:sz="0" w:space="0" w:color="auto"/>
                                      </w:divBdr>
                                      <w:divsChild>
                                        <w:div w:id="532033315">
                                          <w:marLeft w:val="0"/>
                                          <w:marRight w:val="0"/>
                                          <w:marTop w:val="0"/>
                                          <w:marBottom w:val="0"/>
                                          <w:divBdr>
                                            <w:top w:val="none" w:sz="0" w:space="0" w:color="auto"/>
                                            <w:left w:val="none" w:sz="0" w:space="0" w:color="auto"/>
                                            <w:bottom w:val="none" w:sz="0" w:space="0" w:color="auto"/>
                                            <w:right w:val="none" w:sz="0" w:space="0" w:color="auto"/>
                                          </w:divBdr>
                                          <w:divsChild>
                                            <w:div w:id="611940658">
                                              <w:marLeft w:val="0"/>
                                              <w:marRight w:val="0"/>
                                              <w:marTop w:val="0"/>
                                              <w:marBottom w:val="120"/>
                                              <w:divBdr>
                                                <w:top w:val="single" w:sz="6" w:space="0" w:color="F5F5F5"/>
                                                <w:left w:val="single" w:sz="6" w:space="0" w:color="F5F5F5"/>
                                                <w:bottom w:val="single" w:sz="6" w:space="0" w:color="F5F5F5"/>
                                                <w:right w:val="single" w:sz="6" w:space="0" w:color="F5F5F5"/>
                                              </w:divBdr>
                                              <w:divsChild>
                                                <w:div w:id="1174149002">
                                                  <w:marLeft w:val="0"/>
                                                  <w:marRight w:val="0"/>
                                                  <w:marTop w:val="0"/>
                                                  <w:marBottom w:val="0"/>
                                                  <w:divBdr>
                                                    <w:top w:val="none" w:sz="0" w:space="0" w:color="auto"/>
                                                    <w:left w:val="none" w:sz="0" w:space="0" w:color="auto"/>
                                                    <w:bottom w:val="none" w:sz="0" w:space="0" w:color="auto"/>
                                                    <w:right w:val="none" w:sz="0" w:space="0" w:color="auto"/>
                                                  </w:divBdr>
                                                  <w:divsChild>
                                                    <w:div w:id="6184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432167">
      <w:bodyDiv w:val="1"/>
      <w:marLeft w:val="0"/>
      <w:marRight w:val="0"/>
      <w:marTop w:val="0"/>
      <w:marBottom w:val="0"/>
      <w:divBdr>
        <w:top w:val="none" w:sz="0" w:space="0" w:color="auto"/>
        <w:left w:val="none" w:sz="0" w:space="0" w:color="auto"/>
        <w:bottom w:val="none" w:sz="0" w:space="0" w:color="auto"/>
        <w:right w:val="none" w:sz="0" w:space="0" w:color="auto"/>
      </w:divBdr>
    </w:div>
    <w:div w:id="1291663823">
      <w:bodyDiv w:val="1"/>
      <w:marLeft w:val="0"/>
      <w:marRight w:val="0"/>
      <w:marTop w:val="0"/>
      <w:marBottom w:val="0"/>
      <w:divBdr>
        <w:top w:val="none" w:sz="0" w:space="0" w:color="auto"/>
        <w:left w:val="none" w:sz="0" w:space="0" w:color="auto"/>
        <w:bottom w:val="none" w:sz="0" w:space="0" w:color="auto"/>
        <w:right w:val="none" w:sz="0" w:space="0" w:color="auto"/>
      </w:divBdr>
    </w:div>
    <w:div w:id="1473862439">
      <w:bodyDiv w:val="1"/>
      <w:marLeft w:val="0"/>
      <w:marRight w:val="0"/>
      <w:marTop w:val="0"/>
      <w:marBottom w:val="0"/>
      <w:divBdr>
        <w:top w:val="none" w:sz="0" w:space="0" w:color="auto"/>
        <w:left w:val="none" w:sz="0" w:space="0" w:color="auto"/>
        <w:bottom w:val="none" w:sz="0" w:space="0" w:color="auto"/>
        <w:right w:val="none" w:sz="0" w:space="0" w:color="auto"/>
      </w:divBdr>
      <w:divsChild>
        <w:div w:id="583295044">
          <w:marLeft w:val="0"/>
          <w:marRight w:val="0"/>
          <w:marTop w:val="0"/>
          <w:marBottom w:val="0"/>
          <w:divBdr>
            <w:top w:val="none" w:sz="0" w:space="0" w:color="auto"/>
            <w:left w:val="none" w:sz="0" w:space="0" w:color="auto"/>
            <w:bottom w:val="none" w:sz="0" w:space="0" w:color="auto"/>
            <w:right w:val="none" w:sz="0" w:space="0" w:color="auto"/>
          </w:divBdr>
        </w:div>
        <w:div w:id="654070682">
          <w:marLeft w:val="0"/>
          <w:marRight w:val="0"/>
          <w:marTop w:val="0"/>
          <w:marBottom w:val="0"/>
          <w:divBdr>
            <w:top w:val="none" w:sz="0" w:space="0" w:color="auto"/>
            <w:left w:val="none" w:sz="0" w:space="0" w:color="auto"/>
            <w:bottom w:val="none" w:sz="0" w:space="0" w:color="auto"/>
            <w:right w:val="none" w:sz="0" w:space="0" w:color="auto"/>
          </w:divBdr>
        </w:div>
      </w:divsChild>
    </w:div>
    <w:div w:id="1515996996">
      <w:bodyDiv w:val="1"/>
      <w:marLeft w:val="0"/>
      <w:marRight w:val="0"/>
      <w:marTop w:val="0"/>
      <w:marBottom w:val="0"/>
      <w:divBdr>
        <w:top w:val="none" w:sz="0" w:space="0" w:color="auto"/>
        <w:left w:val="none" w:sz="0" w:space="0" w:color="auto"/>
        <w:bottom w:val="none" w:sz="0" w:space="0" w:color="auto"/>
        <w:right w:val="none" w:sz="0" w:space="0" w:color="auto"/>
      </w:divBdr>
    </w:div>
    <w:div w:id="1782190015">
      <w:bodyDiv w:val="1"/>
      <w:marLeft w:val="0"/>
      <w:marRight w:val="0"/>
      <w:marTop w:val="0"/>
      <w:marBottom w:val="0"/>
      <w:divBdr>
        <w:top w:val="none" w:sz="0" w:space="0" w:color="auto"/>
        <w:left w:val="none" w:sz="0" w:space="0" w:color="auto"/>
        <w:bottom w:val="none" w:sz="0" w:space="0" w:color="auto"/>
        <w:right w:val="none" w:sz="0" w:space="0" w:color="auto"/>
      </w:divBdr>
    </w:div>
    <w:div w:id="2068261869">
      <w:bodyDiv w:val="1"/>
      <w:marLeft w:val="0"/>
      <w:marRight w:val="0"/>
      <w:marTop w:val="0"/>
      <w:marBottom w:val="0"/>
      <w:divBdr>
        <w:top w:val="none" w:sz="0" w:space="0" w:color="auto"/>
        <w:left w:val="none" w:sz="0" w:space="0" w:color="auto"/>
        <w:bottom w:val="none" w:sz="0" w:space="0" w:color="auto"/>
        <w:right w:val="none" w:sz="0" w:space="0" w:color="auto"/>
      </w:divBdr>
      <w:divsChild>
        <w:div w:id="432211124">
          <w:marLeft w:val="0"/>
          <w:marRight w:val="0"/>
          <w:marTop w:val="0"/>
          <w:marBottom w:val="0"/>
          <w:divBdr>
            <w:top w:val="none" w:sz="0" w:space="0" w:color="auto"/>
            <w:left w:val="none" w:sz="0" w:space="0" w:color="auto"/>
            <w:bottom w:val="none" w:sz="0" w:space="0" w:color="auto"/>
            <w:right w:val="none" w:sz="0" w:space="0" w:color="auto"/>
          </w:divBdr>
          <w:divsChild>
            <w:div w:id="574441574">
              <w:marLeft w:val="0"/>
              <w:marRight w:val="0"/>
              <w:marTop w:val="0"/>
              <w:marBottom w:val="0"/>
              <w:divBdr>
                <w:top w:val="none" w:sz="0" w:space="0" w:color="auto"/>
                <w:left w:val="none" w:sz="0" w:space="0" w:color="auto"/>
                <w:bottom w:val="none" w:sz="0" w:space="0" w:color="auto"/>
                <w:right w:val="none" w:sz="0" w:space="0" w:color="auto"/>
              </w:divBdr>
              <w:divsChild>
                <w:div w:id="712772369">
                  <w:marLeft w:val="0"/>
                  <w:marRight w:val="0"/>
                  <w:marTop w:val="0"/>
                  <w:marBottom w:val="0"/>
                  <w:divBdr>
                    <w:top w:val="none" w:sz="0" w:space="0" w:color="auto"/>
                    <w:left w:val="none" w:sz="0" w:space="0" w:color="auto"/>
                    <w:bottom w:val="none" w:sz="0" w:space="0" w:color="auto"/>
                    <w:right w:val="none" w:sz="0" w:space="0" w:color="auto"/>
                  </w:divBdr>
                  <w:divsChild>
                    <w:div w:id="583101932">
                      <w:marLeft w:val="0"/>
                      <w:marRight w:val="0"/>
                      <w:marTop w:val="0"/>
                      <w:marBottom w:val="0"/>
                      <w:divBdr>
                        <w:top w:val="none" w:sz="0" w:space="0" w:color="auto"/>
                        <w:left w:val="none" w:sz="0" w:space="0" w:color="auto"/>
                        <w:bottom w:val="none" w:sz="0" w:space="0" w:color="auto"/>
                        <w:right w:val="none" w:sz="0" w:space="0" w:color="auto"/>
                      </w:divBdr>
                      <w:divsChild>
                        <w:div w:id="496380248">
                          <w:marLeft w:val="0"/>
                          <w:marRight w:val="0"/>
                          <w:marTop w:val="0"/>
                          <w:marBottom w:val="0"/>
                          <w:divBdr>
                            <w:top w:val="none" w:sz="0" w:space="0" w:color="auto"/>
                            <w:left w:val="none" w:sz="0" w:space="0" w:color="auto"/>
                            <w:bottom w:val="none" w:sz="0" w:space="0" w:color="auto"/>
                            <w:right w:val="none" w:sz="0" w:space="0" w:color="auto"/>
                          </w:divBdr>
                          <w:divsChild>
                            <w:div w:id="1167748408">
                              <w:marLeft w:val="0"/>
                              <w:marRight w:val="0"/>
                              <w:marTop w:val="0"/>
                              <w:marBottom w:val="0"/>
                              <w:divBdr>
                                <w:top w:val="none" w:sz="0" w:space="0" w:color="auto"/>
                                <w:left w:val="none" w:sz="0" w:space="0" w:color="auto"/>
                                <w:bottom w:val="none" w:sz="0" w:space="0" w:color="auto"/>
                                <w:right w:val="none" w:sz="0" w:space="0" w:color="auto"/>
                              </w:divBdr>
                              <w:divsChild>
                                <w:div w:id="657147397">
                                  <w:marLeft w:val="0"/>
                                  <w:marRight w:val="0"/>
                                  <w:marTop w:val="0"/>
                                  <w:marBottom w:val="0"/>
                                  <w:divBdr>
                                    <w:top w:val="none" w:sz="0" w:space="0" w:color="auto"/>
                                    <w:left w:val="none" w:sz="0" w:space="0" w:color="auto"/>
                                    <w:bottom w:val="none" w:sz="0" w:space="0" w:color="auto"/>
                                    <w:right w:val="none" w:sz="0" w:space="0" w:color="auto"/>
                                  </w:divBdr>
                                  <w:divsChild>
                                    <w:div w:id="949706049">
                                      <w:marLeft w:val="60"/>
                                      <w:marRight w:val="0"/>
                                      <w:marTop w:val="0"/>
                                      <w:marBottom w:val="0"/>
                                      <w:divBdr>
                                        <w:top w:val="none" w:sz="0" w:space="0" w:color="auto"/>
                                        <w:left w:val="none" w:sz="0" w:space="0" w:color="auto"/>
                                        <w:bottom w:val="none" w:sz="0" w:space="0" w:color="auto"/>
                                        <w:right w:val="none" w:sz="0" w:space="0" w:color="auto"/>
                                      </w:divBdr>
                                      <w:divsChild>
                                        <w:div w:id="516038760">
                                          <w:marLeft w:val="0"/>
                                          <w:marRight w:val="0"/>
                                          <w:marTop w:val="0"/>
                                          <w:marBottom w:val="0"/>
                                          <w:divBdr>
                                            <w:top w:val="none" w:sz="0" w:space="0" w:color="auto"/>
                                            <w:left w:val="none" w:sz="0" w:space="0" w:color="auto"/>
                                            <w:bottom w:val="none" w:sz="0" w:space="0" w:color="auto"/>
                                            <w:right w:val="none" w:sz="0" w:space="0" w:color="auto"/>
                                          </w:divBdr>
                                          <w:divsChild>
                                            <w:div w:id="433062459">
                                              <w:marLeft w:val="0"/>
                                              <w:marRight w:val="0"/>
                                              <w:marTop w:val="0"/>
                                              <w:marBottom w:val="120"/>
                                              <w:divBdr>
                                                <w:top w:val="single" w:sz="6" w:space="0" w:color="F5F5F5"/>
                                                <w:left w:val="single" w:sz="6" w:space="0" w:color="F5F5F5"/>
                                                <w:bottom w:val="single" w:sz="6" w:space="0" w:color="F5F5F5"/>
                                                <w:right w:val="single" w:sz="6" w:space="0" w:color="F5F5F5"/>
                                              </w:divBdr>
                                              <w:divsChild>
                                                <w:div w:id="103809415">
                                                  <w:marLeft w:val="0"/>
                                                  <w:marRight w:val="0"/>
                                                  <w:marTop w:val="0"/>
                                                  <w:marBottom w:val="0"/>
                                                  <w:divBdr>
                                                    <w:top w:val="none" w:sz="0" w:space="0" w:color="auto"/>
                                                    <w:left w:val="none" w:sz="0" w:space="0" w:color="auto"/>
                                                    <w:bottom w:val="none" w:sz="0" w:space="0" w:color="auto"/>
                                                    <w:right w:val="none" w:sz="0" w:space="0" w:color="auto"/>
                                                  </w:divBdr>
                                                  <w:divsChild>
                                                    <w:div w:id="65283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413</Words>
  <Characters>2357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Lorenzo Sommacal</cp:lastModifiedBy>
  <cp:revision>9</cp:revision>
  <cp:lastPrinted>2020-12-18T15:48:00Z</cp:lastPrinted>
  <dcterms:created xsi:type="dcterms:W3CDTF">2021-03-03T08:30:00Z</dcterms:created>
  <dcterms:modified xsi:type="dcterms:W3CDTF">2023-02-16T17:28:00Z</dcterms:modified>
</cp:coreProperties>
</file>